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2C0E9" w14:textId="52F5FF8D" w:rsidR="009E1558" w:rsidRPr="006E77D4" w:rsidRDefault="009E1558" w:rsidP="009E1558">
      <w:pPr>
        <w:spacing w:line="240" w:lineRule="auto"/>
        <w:rPr>
          <w:rFonts w:ascii="Times New Roman" w:eastAsia="Times New Roman" w:hAnsi="Times New Roman" w:cs="Times New Roman"/>
          <w:color w:val="FF0000"/>
          <w:sz w:val="24"/>
          <w:szCs w:val="24"/>
        </w:rPr>
      </w:pPr>
      <w:r w:rsidRPr="006E77D4">
        <w:rPr>
          <w:rFonts w:ascii="Times New Roman" w:eastAsia="Times New Roman" w:hAnsi="Times New Roman" w:cs="Times New Roman"/>
          <w:b/>
          <w:color w:val="FF0000"/>
          <w:sz w:val="24"/>
          <w:szCs w:val="24"/>
        </w:rPr>
        <w:t>[Note that th</w:t>
      </w:r>
      <w:r w:rsidR="00E85536">
        <w:rPr>
          <w:rFonts w:ascii="Times New Roman" w:eastAsia="Times New Roman" w:hAnsi="Times New Roman" w:cs="Times New Roman"/>
          <w:b/>
          <w:color w:val="FF0000"/>
          <w:sz w:val="24"/>
          <w:szCs w:val="24"/>
        </w:rPr>
        <w:t xml:space="preserve">ese </w:t>
      </w:r>
      <w:r w:rsidRPr="006E77D4">
        <w:rPr>
          <w:rFonts w:ascii="Times New Roman" w:eastAsia="Times New Roman" w:hAnsi="Times New Roman" w:cs="Times New Roman"/>
          <w:b/>
          <w:color w:val="FF0000"/>
          <w:sz w:val="24"/>
          <w:szCs w:val="24"/>
        </w:rPr>
        <w:t xml:space="preserve">sample </w:t>
      </w:r>
      <w:r w:rsidR="00E85536">
        <w:rPr>
          <w:rFonts w:ascii="Times New Roman" w:eastAsia="Times New Roman" w:hAnsi="Times New Roman" w:cs="Times New Roman"/>
          <w:b/>
          <w:color w:val="FF0000"/>
          <w:sz w:val="24"/>
          <w:szCs w:val="24"/>
        </w:rPr>
        <w:t xml:space="preserve">resolution and </w:t>
      </w:r>
      <w:r w:rsidRPr="006E77D4">
        <w:rPr>
          <w:rFonts w:ascii="Times New Roman" w:eastAsia="Times New Roman" w:hAnsi="Times New Roman" w:cs="Times New Roman"/>
          <w:b/>
          <w:color w:val="FF0000"/>
          <w:sz w:val="24"/>
          <w:szCs w:val="24"/>
        </w:rPr>
        <w:t xml:space="preserve">policy </w:t>
      </w:r>
      <w:r w:rsidR="00E85536">
        <w:rPr>
          <w:rFonts w:ascii="Times New Roman" w:eastAsia="Times New Roman" w:hAnsi="Times New Roman" w:cs="Times New Roman"/>
          <w:b/>
          <w:color w:val="FF0000"/>
          <w:sz w:val="24"/>
          <w:szCs w:val="24"/>
        </w:rPr>
        <w:t>are</w:t>
      </w:r>
      <w:r w:rsidRPr="006E77D4">
        <w:rPr>
          <w:rFonts w:ascii="Times New Roman" w:eastAsia="Times New Roman" w:hAnsi="Times New Roman" w:cs="Times New Roman"/>
          <w:b/>
          <w:color w:val="FF0000"/>
          <w:sz w:val="24"/>
          <w:szCs w:val="24"/>
        </w:rPr>
        <w:t xml:space="preserve"> intended to give NC local governments a general guide to crafting an Allowable Costs and Cost Principles Policy that is consistent with federal Uniform Guidance provision in 2 CFR 200 Subpart E</w:t>
      </w:r>
      <w:r w:rsidR="00E50B11">
        <w:rPr>
          <w:rFonts w:ascii="Times New Roman" w:eastAsia="Times New Roman" w:hAnsi="Times New Roman" w:cs="Times New Roman"/>
          <w:b/>
          <w:color w:val="FF0000"/>
          <w:sz w:val="24"/>
          <w:szCs w:val="24"/>
        </w:rPr>
        <w:t>, as it applies to the American Rescue Plan Act of 2021 Coronavirus State and Local Fiscal Recovery Fund program</w:t>
      </w:r>
      <w:r w:rsidRPr="006E77D4">
        <w:rPr>
          <w:rFonts w:ascii="Times New Roman" w:eastAsia="Times New Roman" w:hAnsi="Times New Roman" w:cs="Times New Roman"/>
          <w:b/>
          <w:color w:val="FF0000"/>
          <w:sz w:val="24"/>
          <w:szCs w:val="24"/>
        </w:rPr>
        <w:t xml:space="preserve">. A local government must work with its attorney to draft a policy that is compliant with applicable laws and regulations and that can be fully implemented by the local government. Any questions about this sample policy, or suggestions for improvements, may be directed to </w:t>
      </w:r>
      <w:hyperlink r:id="rId7" w:history="1">
        <w:r w:rsidRPr="006E77D4">
          <w:rPr>
            <w:rStyle w:val="Hyperlink"/>
            <w:rFonts w:ascii="Times New Roman" w:eastAsia="Times New Roman" w:hAnsi="Times New Roman" w:cs="Times New Roman"/>
            <w:b/>
            <w:sz w:val="24"/>
            <w:szCs w:val="24"/>
          </w:rPr>
          <w:t>millonzi@sog.unc.edu</w:t>
        </w:r>
      </w:hyperlink>
      <w:r w:rsidRPr="006E77D4">
        <w:rPr>
          <w:rFonts w:ascii="Times New Roman" w:eastAsia="Times New Roman" w:hAnsi="Times New Roman" w:cs="Times New Roman"/>
          <w:b/>
          <w:color w:val="FF0000"/>
          <w:sz w:val="24"/>
          <w:szCs w:val="24"/>
        </w:rPr>
        <w:t xml:space="preserve">.] </w:t>
      </w:r>
    </w:p>
    <w:p w14:paraId="65FF757F" w14:textId="7D46CC40" w:rsidR="009E1558" w:rsidRPr="006E77D4" w:rsidRDefault="009E1558" w:rsidP="009E1558">
      <w:pPr>
        <w:pStyle w:val="Heading2"/>
        <w:rPr>
          <w:rFonts w:eastAsia="Times New Roman"/>
          <w:b/>
          <w:bCs/>
        </w:rPr>
      </w:pPr>
      <w:r w:rsidRPr="006E77D4">
        <w:rPr>
          <w:rFonts w:eastAsia="Times New Roman"/>
          <w:b/>
          <w:bCs/>
        </w:rPr>
        <w:t xml:space="preserve">SAMPLE </w:t>
      </w:r>
      <w:r w:rsidR="001E0A6E">
        <w:rPr>
          <w:rFonts w:eastAsia="Times New Roman"/>
          <w:b/>
          <w:bCs/>
        </w:rPr>
        <w:t>RESOLUTION</w:t>
      </w:r>
      <w:r w:rsidRPr="006E77D4">
        <w:rPr>
          <w:rFonts w:eastAsia="Times New Roman"/>
          <w:b/>
          <w:bCs/>
        </w:rPr>
        <w:t xml:space="preserve"> FOR ALLOWABLE COSTS AND COST PRINCIPLES FOR EXPENDITURE OF AMERICAN RESCUE PLAN ACT CORONAVIRUS STATE AND LOCAL FISCAL RECOVERY FUNDS BY NORTH CAROLINA LOCAL GOVERNMENTS</w:t>
      </w:r>
    </w:p>
    <w:p w14:paraId="144B7496" w14:textId="77777777" w:rsidR="009E1558" w:rsidRPr="006E77D4" w:rsidRDefault="009E1558" w:rsidP="009E1558">
      <w:pPr>
        <w:spacing w:line="240" w:lineRule="auto"/>
        <w:rPr>
          <w:rFonts w:ascii="Times New Roman" w:hAnsi="Times New Roman" w:cs="Times New Roman"/>
          <w:sz w:val="24"/>
          <w:szCs w:val="24"/>
        </w:rPr>
      </w:pPr>
      <w:r w:rsidRPr="006E77D4">
        <w:rPr>
          <w:rFonts w:ascii="Times New Roman" w:hAnsi="Times New Roman" w:cs="Times New Roman"/>
          <w:b/>
          <w:bCs/>
          <w:sz w:val="24"/>
          <w:szCs w:val="24"/>
        </w:rPr>
        <w:t xml:space="preserve">WHEREAS </w:t>
      </w:r>
      <w:r w:rsidRPr="006E77D4">
        <w:rPr>
          <w:rFonts w:ascii="Times New Roman" w:hAnsi="Times New Roman" w:cs="Times New Roman"/>
          <w:sz w:val="24"/>
          <w:szCs w:val="24"/>
        </w:rPr>
        <w:t>the [LOCAL GOVERNMENT NAME], has received an allocation of funds from the Coronavirus State and Local Fiscal Recovery Funds of H.R. 1319 American Rescue Plan Act of 2021 (ARP/CSLFRF); and</w:t>
      </w:r>
    </w:p>
    <w:p w14:paraId="2DC4641A" w14:textId="77777777" w:rsidR="009E1558" w:rsidRPr="006E77D4" w:rsidRDefault="009E1558" w:rsidP="009E1558">
      <w:pPr>
        <w:spacing w:line="240" w:lineRule="auto"/>
        <w:rPr>
          <w:rFonts w:ascii="Times New Roman" w:hAnsi="Times New Roman" w:cs="Times New Roman"/>
          <w:sz w:val="24"/>
          <w:szCs w:val="24"/>
        </w:rPr>
      </w:pPr>
      <w:r w:rsidRPr="006E77D4">
        <w:rPr>
          <w:rFonts w:ascii="Times New Roman" w:hAnsi="Times New Roman" w:cs="Times New Roman"/>
          <w:b/>
          <w:bCs/>
          <w:sz w:val="24"/>
          <w:szCs w:val="24"/>
        </w:rPr>
        <w:t>WHEREAS</w:t>
      </w:r>
      <w:r w:rsidRPr="006E77D4">
        <w:rPr>
          <w:rFonts w:ascii="Times New Roman" w:hAnsi="Times New Roman" w:cs="Times New Roman"/>
          <w:sz w:val="24"/>
          <w:szCs w:val="24"/>
        </w:rPr>
        <w:t xml:space="preserve"> the funds may be used for projects within these categories, to the extent authorized by state law.</w:t>
      </w:r>
    </w:p>
    <w:p w14:paraId="62410978" w14:textId="77777777" w:rsidR="009E1558" w:rsidRPr="006E77D4" w:rsidRDefault="009E1558" w:rsidP="009E1558">
      <w:pPr>
        <w:numPr>
          <w:ilvl w:val="0"/>
          <w:numId w:val="2"/>
        </w:numPr>
        <w:spacing w:line="240" w:lineRule="auto"/>
        <w:rPr>
          <w:rFonts w:ascii="Times New Roman" w:hAnsi="Times New Roman" w:cs="Times New Roman"/>
          <w:sz w:val="24"/>
          <w:szCs w:val="24"/>
        </w:rPr>
      </w:pPr>
      <w:r w:rsidRPr="006E77D4">
        <w:rPr>
          <w:rFonts w:ascii="Times New Roman" w:hAnsi="Times New Roman" w:cs="Times New Roman"/>
          <w:sz w:val="24"/>
          <w:szCs w:val="24"/>
        </w:rPr>
        <w:t xml:space="preserve">Support public health expenditures, by funding COVID-19 mitigation efforts, medical expenses, behavioral healthcare, and certain public health and safety </w:t>
      </w:r>
      <w:proofErr w:type="gramStart"/>
      <w:r w:rsidRPr="006E77D4">
        <w:rPr>
          <w:rFonts w:ascii="Times New Roman" w:hAnsi="Times New Roman" w:cs="Times New Roman"/>
          <w:sz w:val="24"/>
          <w:szCs w:val="24"/>
        </w:rPr>
        <w:t>staff;</w:t>
      </w:r>
      <w:proofErr w:type="gramEnd"/>
    </w:p>
    <w:p w14:paraId="74151A21" w14:textId="77777777" w:rsidR="009E1558" w:rsidRPr="006E77D4" w:rsidRDefault="009E1558" w:rsidP="009E1558">
      <w:pPr>
        <w:numPr>
          <w:ilvl w:val="0"/>
          <w:numId w:val="2"/>
        </w:numPr>
        <w:spacing w:line="240" w:lineRule="auto"/>
        <w:rPr>
          <w:rFonts w:ascii="Times New Roman" w:hAnsi="Times New Roman" w:cs="Times New Roman"/>
          <w:sz w:val="24"/>
          <w:szCs w:val="24"/>
        </w:rPr>
      </w:pPr>
      <w:r w:rsidRPr="006E77D4">
        <w:rPr>
          <w:rFonts w:ascii="Times New Roman" w:hAnsi="Times New Roman" w:cs="Times New Roman"/>
          <w:sz w:val="24"/>
          <w:szCs w:val="24"/>
        </w:rPr>
        <w:t xml:space="preserve">Address negative economic impacts caused by the public health emergency, including economic harms to workers, households, small businesses, impacted industries, and the public </w:t>
      </w:r>
      <w:proofErr w:type="gramStart"/>
      <w:r w:rsidRPr="006E77D4">
        <w:rPr>
          <w:rFonts w:ascii="Times New Roman" w:hAnsi="Times New Roman" w:cs="Times New Roman"/>
          <w:sz w:val="24"/>
          <w:szCs w:val="24"/>
        </w:rPr>
        <w:t>sector;</w:t>
      </w:r>
      <w:proofErr w:type="gramEnd"/>
    </w:p>
    <w:p w14:paraId="68986683" w14:textId="77777777" w:rsidR="009E1558" w:rsidRPr="006E77D4" w:rsidRDefault="009E1558" w:rsidP="009E1558">
      <w:pPr>
        <w:numPr>
          <w:ilvl w:val="0"/>
          <w:numId w:val="2"/>
        </w:numPr>
        <w:spacing w:line="240" w:lineRule="auto"/>
        <w:rPr>
          <w:rFonts w:ascii="Times New Roman" w:hAnsi="Times New Roman" w:cs="Times New Roman"/>
          <w:sz w:val="24"/>
          <w:szCs w:val="24"/>
        </w:rPr>
      </w:pPr>
      <w:r w:rsidRPr="006E77D4">
        <w:rPr>
          <w:rFonts w:ascii="Times New Roman" w:hAnsi="Times New Roman" w:cs="Times New Roman"/>
          <w:sz w:val="24"/>
          <w:szCs w:val="24"/>
        </w:rPr>
        <w:t xml:space="preserve">Replace lost public sector revenue, using this funding to provide government services to the extent of the reduction in revenue experienced due to the </w:t>
      </w:r>
      <w:proofErr w:type="gramStart"/>
      <w:r w:rsidRPr="006E77D4">
        <w:rPr>
          <w:rFonts w:ascii="Times New Roman" w:hAnsi="Times New Roman" w:cs="Times New Roman"/>
          <w:sz w:val="24"/>
          <w:szCs w:val="24"/>
        </w:rPr>
        <w:t>pandemic;</w:t>
      </w:r>
      <w:proofErr w:type="gramEnd"/>
    </w:p>
    <w:p w14:paraId="39A1999D" w14:textId="77777777" w:rsidR="009E1558" w:rsidRPr="006E77D4" w:rsidRDefault="009E1558" w:rsidP="009E1558">
      <w:pPr>
        <w:numPr>
          <w:ilvl w:val="0"/>
          <w:numId w:val="2"/>
        </w:numPr>
        <w:spacing w:line="240" w:lineRule="auto"/>
        <w:rPr>
          <w:rFonts w:ascii="Times New Roman" w:hAnsi="Times New Roman" w:cs="Times New Roman"/>
          <w:sz w:val="24"/>
          <w:szCs w:val="24"/>
        </w:rPr>
      </w:pPr>
      <w:r w:rsidRPr="006E77D4">
        <w:rPr>
          <w:rFonts w:ascii="Times New Roman" w:hAnsi="Times New Roman" w:cs="Times New Roman"/>
          <w:sz w:val="24"/>
          <w:szCs w:val="24"/>
        </w:rPr>
        <w:t>Provide premium pay for essential workers, offering additional support to those who have borne and will bear the greatest health risks because of their service in critical infrastructure sectors; and,</w:t>
      </w:r>
    </w:p>
    <w:p w14:paraId="078EF6B4" w14:textId="77777777" w:rsidR="009E1558" w:rsidRPr="006E77D4" w:rsidRDefault="009E1558" w:rsidP="009E1558">
      <w:pPr>
        <w:numPr>
          <w:ilvl w:val="0"/>
          <w:numId w:val="2"/>
        </w:numPr>
        <w:spacing w:line="240" w:lineRule="auto"/>
        <w:rPr>
          <w:rFonts w:ascii="Times New Roman" w:hAnsi="Times New Roman" w:cs="Times New Roman"/>
          <w:sz w:val="24"/>
          <w:szCs w:val="24"/>
        </w:rPr>
      </w:pPr>
      <w:r w:rsidRPr="006E77D4">
        <w:rPr>
          <w:rFonts w:ascii="Times New Roman" w:hAnsi="Times New Roman" w:cs="Times New Roman"/>
          <w:sz w:val="24"/>
          <w:szCs w:val="24"/>
        </w:rPr>
        <w:t>Invest in water, sewer, and broadband infrastructure, making necessary investments to improve access to clean drinking water, support vital wastewater and stormwater infrastructure, and to expand access to broadband internet; and</w:t>
      </w:r>
    </w:p>
    <w:p w14:paraId="129B02A1" w14:textId="77777777" w:rsidR="009E1558" w:rsidRPr="006E77D4" w:rsidRDefault="009E1558" w:rsidP="009E1558">
      <w:pPr>
        <w:spacing w:line="240" w:lineRule="auto"/>
        <w:rPr>
          <w:rFonts w:ascii="Times New Roman" w:hAnsi="Times New Roman" w:cs="Times New Roman"/>
          <w:sz w:val="24"/>
          <w:szCs w:val="24"/>
        </w:rPr>
      </w:pPr>
      <w:r w:rsidRPr="006E77D4">
        <w:rPr>
          <w:rFonts w:ascii="Times New Roman" w:hAnsi="Times New Roman" w:cs="Times New Roman"/>
          <w:b/>
          <w:bCs/>
          <w:sz w:val="24"/>
          <w:szCs w:val="24"/>
        </w:rPr>
        <w:t>WHEREAS</w:t>
      </w:r>
      <w:r w:rsidRPr="006E77D4">
        <w:rPr>
          <w:rFonts w:ascii="Times New Roman" w:hAnsi="Times New Roman" w:cs="Times New Roman"/>
          <w:sz w:val="24"/>
          <w:szCs w:val="24"/>
        </w:rPr>
        <w:t xml:space="preserve"> the ARP/CSLFRF are subject to the provisions of the federal Uniform Grant Guidance, 2 CFR Sect. 200 (UG), as provided in the </w:t>
      </w:r>
      <w:hyperlink r:id="rId8" w:history="1">
        <w:r w:rsidRPr="006E77D4">
          <w:rPr>
            <w:rStyle w:val="Hyperlink"/>
            <w:rFonts w:ascii="Times New Roman" w:hAnsi="Times New Roman" w:cs="Times New Roman"/>
            <w:sz w:val="24"/>
            <w:szCs w:val="24"/>
          </w:rPr>
          <w:t>Assistance Listing</w:t>
        </w:r>
      </w:hyperlink>
      <w:r w:rsidRPr="006E77D4">
        <w:rPr>
          <w:rFonts w:ascii="Times New Roman" w:hAnsi="Times New Roman" w:cs="Times New Roman"/>
          <w:sz w:val="24"/>
          <w:szCs w:val="24"/>
        </w:rPr>
        <w:t xml:space="preserve">; and </w:t>
      </w:r>
    </w:p>
    <w:p w14:paraId="5FC0868B" w14:textId="77777777" w:rsidR="009E1558" w:rsidRPr="006E77D4" w:rsidRDefault="009E1558" w:rsidP="009E1558">
      <w:pPr>
        <w:spacing w:line="240" w:lineRule="auto"/>
        <w:rPr>
          <w:rFonts w:ascii="Times New Roman" w:hAnsi="Times New Roman" w:cs="Times New Roman"/>
          <w:sz w:val="24"/>
          <w:szCs w:val="24"/>
        </w:rPr>
      </w:pPr>
      <w:r w:rsidRPr="006E77D4">
        <w:rPr>
          <w:rFonts w:ascii="Times New Roman" w:hAnsi="Times New Roman" w:cs="Times New Roman"/>
          <w:b/>
          <w:bCs/>
          <w:sz w:val="24"/>
          <w:szCs w:val="24"/>
        </w:rPr>
        <w:t>WHEREAS</w:t>
      </w:r>
      <w:r w:rsidRPr="006E77D4">
        <w:rPr>
          <w:rFonts w:ascii="Times New Roman" w:hAnsi="Times New Roman" w:cs="Times New Roman"/>
          <w:sz w:val="24"/>
          <w:szCs w:val="24"/>
        </w:rPr>
        <w:t xml:space="preserve"> the </w:t>
      </w:r>
      <w:hyperlink r:id="rId9" w:history="1">
        <w:r w:rsidRPr="006E77D4">
          <w:rPr>
            <w:rStyle w:val="Hyperlink"/>
            <w:rFonts w:ascii="Times New Roman" w:hAnsi="Times New Roman" w:cs="Times New Roman"/>
            <w:sz w:val="24"/>
            <w:szCs w:val="24"/>
          </w:rPr>
          <w:t>Compliance and Reporting Guidance for the State and Local Fiscal Recovery Funds</w:t>
        </w:r>
      </w:hyperlink>
      <w:r w:rsidRPr="006E77D4">
        <w:rPr>
          <w:rFonts w:ascii="Times New Roman" w:hAnsi="Times New Roman" w:cs="Times New Roman"/>
          <w:sz w:val="24"/>
          <w:szCs w:val="24"/>
        </w:rPr>
        <w:t xml:space="preserve"> provides, in relevant part:</w:t>
      </w:r>
    </w:p>
    <w:p w14:paraId="77F67B34" w14:textId="77777777" w:rsidR="009E1558" w:rsidRPr="006E77D4" w:rsidRDefault="009E1558" w:rsidP="009E1558">
      <w:pPr>
        <w:spacing w:before="100" w:beforeAutospacing="1" w:after="100" w:afterAutospacing="1" w:line="240" w:lineRule="auto"/>
        <w:ind w:left="720"/>
        <w:rPr>
          <w:rFonts w:ascii="Times New Roman" w:eastAsia="Times New Roman" w:hAnsi="Times New Roman" w:cs="Times New Roman"/>
          <w:sz w:val="24"/>
          <w:szCs w:val="24"/>
          <w:lang w:val="en-US"/>
        </w:rPr>
      </w:pPr>
      <w:r w:rsidRPr="006E77D4">
        <w:rPr>
          <w:rFonts w:ascii="Times New Roman" w:eastAsia="Times New Roman" w:hAnsi="Times New Roman" w:cs="Times New Roman"/>
          <w:b/>
          <w:bCs/>
          <w:sz w:val="24"/>
          <w:szCs w:val="24"/>
          <w:lang w:val="en-US"/>
        </w:rPr>
        <w:t xml:space="preserve">Allowable Costs/Cost Principles. </w:t>
      </w:r>
      <w:r w:rsidRPr="006E77D4">
        <w:rPr>
          <w:rFonts w:ascii="Times New Roman" w:eastAsia="Times New Roman" w:hAnsi="Times New Roman" w:cs="Times New Roman"/>
          <w:sz w:val="24"/>
          <w:szCs w:val="24"/>
          <w:lang w:val="en-US"/>
        </w:rPr>
        <w:t xml:space="preserve">As outlined in the Uniform Guidance at 2 CFR Part 200, Subpart E regarding Cost Principles, allowable costs are based on the premise that a recipient is responsible for the effective administration of Federal awards, application of sound management practices, and administration of Federal funds in a manner consistent with the program objectives and terms and conditions of the award. Recipients must </w:t>
      </w:r>
      <w:r w:rsidRPr="006E77D4">
        <w:rPr>
          <w:rFonts w:ascii="Times New Roman" w:eastAsia="Times New Roman" w:hAnsi="Times New Roman" w:cs="Times New Roman"/>
          <w:sz w:val="24"/>
          <w:szCs w:val="24"/>
          <w:lang w:val="en-US"/>
        </w:rPr>
        <w:lastRenderedPageBreak/>
        <w:t xml:space="preserve">implement robust internal controls and effective monitoring to ensure compliance with the Cost Principles, which are important for building trust and accountability. </w:t>
      </w:r>
    </w:p>
    <w:p w14:paraId="45E16BA2" w14:textId="77777777" w:rsidR="009E1558" w:rsidRPr="006E77D4" w:rsidRDefault="009E1558" w:rsidP="009E1558">
      <w:pPr>
        <w:spacing w:before="100" w:beforeAutospacing="1" w:after="100" w:afterAutospacing="1" w:line="240" w:lineRule="auto"/>
        <w:ind w:left="720"/>
        <w:rPr>
          <w:rFonts w:ascii="Times New Roman" w:eastAsia="Times New Roman" w:hAnsi="Times New Roman" w:cs="Times New Roman"/>
          <w:sz w:val="24"/>
          <w:szCs w:val="24"/>
          <w:lang w:val="en-US"/>
        </w:rPr>
      </w:pPr>
      <w:r w:rsidRPr="006E77D4">
        <w:rPr>
          <w:rFonts w:ascii="Times New Roman" w:eastAsia="Times New Roman" w:hAnsi="Times New Roman" w:cs="Times New Roman"/>
          <w:sz w:val="24"/>
          <w:szCs w:val="24"/>
          <w:lang w:val="en-US"/>
        </w:rPr>
        <w:t xml:space="preserve">[ARP/CSLFRF] Funds may be, but are not required to be, used along with other funding sources for a given project. Note that [ARP/CSLFRF] Funds may not be used for a non-Federal cost share or match </w:t>
      </w:r>
      <w:proofErr w:type="gramStart"/>
      <w:r w:rsidRPr="006E77D4">
        <w:rPr>
          <w:rFonts w:ascii="Times New Roman" w:eastAsia="Times New Roman" w:hAnsi="Times New Roman" w:cs="Times New Roman"/>
          <w:sz w:val="24"/>
          <w:szCs w:val="24"/>
          <w:lang w:val="en-US"/>
        </w:rPr>
        <w:t>where</w:t>
      </w:r>
      <w:proofErr w:type="gramEnd"/>
      <w:r w:rsidRPr="006E77D4">
        <w:rPr>
          <w:rFonts w:ascii="Times New Roman" w:eastAsia="Times New Roman" w:hAnsi="Times New Roman" w:cs="Times New Roman"/>
          <w:sz w:val="24"/>
          <w:szCs w:val="24"/>
          <w:lang w:val="en-US"/>
        </w:rPr>
        <w:t xml:space="preserve"> prohibited by other Federal programs, e.g., funds may not be used for the State share for Medicaid.</w:t>
      </w:r>
      <w:r w:rsidRPr="006E77D4">
        <w:rPr>
          <w:rFonts w:ascii="Times New Roman" w:eastAsia="Times New Roman" w:hAnsi="Times New Roman" w:cs="Times New Roman"/>
          <w:position w:val="8"/>
          <w:sz w:val="24"/>
          <w:szCs w:val="24"/>
          <w:lang w:val="en-US"/>
        </w:rPr>
        <w:t xml:space="preserve"> </w:t>
      </w:r>
    </w:p>
    <w:p w14:paraId="73EAF57F" w14:textId="77777777" w:rsidR="009E1558" w:rsidRPr="006E77D4" w:rsidRDefault="009E1558" w:rsidP="009E1558">
      <w:pPr>
        <w:spacing w:before="100" w:beforeAutospacing="1" w:after="100" w:afterAutospacing="1" w:line="240" w:lineRule="auto"/>
        <w:ind w:left="720"/>
        <w:rPr>
          <w:rFonts w:ascii="Times New Roman" w:eastAsia="Times New Roman" w:hAnsi="Times New Roman" w:cs="Times New Roman"/>
          <w:sz w:val="24"/>
          <w:szCs w:val="24"/>
          <w:lang w:val="en-US"/>
        </w:rPr>
      </w:pPr>
      <w:r w:rsidRPr="006E77D4">
        <w:rPr>
          <w:rFonts w:ascii="Times New Roman" w:eastAsia="Times New Roman" w:hAnsi="Times New Roman" w:cs="Times New Roman"/>
          <w:sz w:val="24"/>
          <w:szCs w:val="24"/>
          <w:lang w:val="en-US"/>
        </w:rPr>
        <w:t xml:space="preserve">Treasury’s Interim Final Rule and guidance and the Uniform Guidance outline the types of costs that are allowable, including certain audit costs. For example, per 2 CFR 200.425, a reasonably proportionate share of the costs of audits required by the Single Audit Act Amendments of 1996 are allowable; however, costs for audits that were not performed in accordance with 2 CFR Part 200, Subpart F are not allowable. Please see 2 CFR Part 200, Subpart E regarding the Cost Principles for more information. </w:t>
      </w:r>
    </w:p>
    <w:p w14:paraId="17D90C90" w14:textId="77777777" w:rsidR="009E1558" w:rsidRPr="006E77D4" w:rsidRDefault="009E1558" w:rsidP="009E155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6E77D4">
        <w:rPr>
          <w:rFonts w:ascii="Times New Roman" w:eastAsia="Times New Roman" w:hAnsi="Times New Roman" w:cs="Times New Roman"/>
          <w:sz w:val="24"/>
          <w:szCs w:val="24"/>
          <w:u w:val="single"/>
          <w:lang w:val="en-US"/>
        </w:rPr>
        <w:t>Administrative costs</w:t>
      </w:r>
      <w:r w:rsidRPr="006E77D4">
        <w:rPr>
          <w:rFonts w:ascii="Times New Roman" w:eastAsia="Times New Roman" w:hAnsi="Times New Roman" w:cs="Times New Roman"/>
          <w:i/>
          <w:iCs/>
          <w:sz w:val="24"/>
          <w:szCs w:val="24"/>
          <w:lang w:val="en-US"/>
        </w:rPr>
        <w:t xml:space="preserve">: </w:t>
      </w:r>
      <w:r w:rsidRPr="006E77D4">
        <w:rPr>
          <w:rFonts w:ascii="Times New Roman" w:eastAsia="Times New Roman" w:hAnsi="Times New Roman" w:cs="Times New Roman"/>
          <w:sz w:val="24"/>
          <w:szCs w:val="24"/>
          <w:lang w:val="en-US"/>
        </w:rPr>
        <w:t>Recipients may use funds for administering the SLFRF program, including costs of consultants to support effective management and oversight, including consultation for ensuring compliance with legal, regulatory, and other requirements.</w:t>
      </w:r>
      <w:r w:rsidRPr="006E77D4">
        <w:rPr>
          <w:rFonts w:ascii="Times New Roman" w:eastAsia="Times New Roman" w:hAnsi="Times New Roman" w:cs="Times New Roman"/>
          <w:position w:val="8"/>
          <w:sz w:val="24"/>
          <w:szCs w:val="24"/>
          <w:lang w:val="en-US"/>
        </w:rPr>
        <w:t xml:space="preserve"> </w:t>
      </w:r>
      <w:r w:rsidRPr="006E77D4">
        <w:rPr>
          <w:rFonts w:ascii="Times New Roman" w:eastAsia="Times New Roman" w:hAnsi="Times New Roman" w:cs="Times New Roman"/>
          <w:sz w:val="24"/>
          <w:szCs w:val="24"/>
          <w:lang w:val="en-US"/>
        </w:rPr>
        <w:t>Further, costs must be reasonable and allocable as outlined in 2 CFR 200.404 and 2 CFR 200.405. Pursuant to the [ARP/CSLFRF] Award Terms and Conditions, recipients are permitted to charge both direct and indirect costs to their SLFRF award as administrative costs. Direct costs are those that are identified specifically as costs of implementing the [ARP/CSLFRF] program objectives, such as contract support, materials, and supplies for a project. Indirect costs are general overhead costs of an organization where a portion of such costs are allocable to the [ARP/CSLFRF] award such as the cost of facilities or administrative functions like a director’s office.</w:t>
      </w:r>
      <w:r w:rsidRPr="006E77D4">
        <w:rPr>
          <w:rFonts w:ascii="Times New Roman" w:eastAsia="Times New Roman" w:hAnsi="Times New Roman" w:cs="Times New Roman"/>
          <w:position w:val="8"/>
          <w:sz w:val="24"/>
          <w:szCs w:val="24"/>
          <w:lang w:val="en-US"/>
        </w:rPr>
        <w:t xml:space="preserve"> </w:t>
      </w:r>
      <w:r w:rsidRPr="006E77D4">
        <w:rPr>
          <w:rFonts w:ascii="Times New Roman" w:eastAsia="Times New Roman" w:hAnsi="Times New Roman" w:cs="Times New Roman"/>
          <w:sz w:val="24"/>
          <w:szCs w:val="24"/>
          <w:lang w:val="en-US"/>
        </w:rPr>
        <w:t xml:space="preserve">Each category of cost should be treated consistently in like circumstances as direct or indirect, and recipients may not charge the same administrative costs to both direct and indirect cost categories, or to other programs. If a recipient has a current Negotiated Indirect Costs Rate Agreement (NICRA) established with a Federal cognizant agency responsible for reviewing, negotiating, and approving cost allocation plans or indirect cost proposals, then the recipient may use its current NICRA. Alternatively, if the recipient does not have a NICRA, the recipient may elect to use the de minimis rate of 10 percent of the modified total direct costs pursuant to 2 CFR 200.414(f). </w:t>
      </w:r>
    </w:p>
    <w:p w14:paraId="7CC3BADD" w14:textId="77777777" w:rsidR="009E1558" w:rsidRPr="006E77D4" w:rsidRDefault="009E1558" w:rsidP="009E1558">
      <w:pPr>
        <w:pStyle w:val="ListParagraph"/>
        <w:spacing w:before="100" w:beforeAutospacing="1" w:after="100" w:afterAutospacing="1" w:line="240" w:lineRule="auto"/>
        <w:ind w:left="1800"/>
        <w:rPr>
          <w:rFonts w:ascii="Times New Roman" w:eastAsia="Times New Roman" w:hAnsi="Times New Roman" w:cs="Times New Roman"/>
          <w:sz w:val="24"/>
          <w:szCs w:val="24"/>
          <w:lang w:val="en-US"/>
        </w:rPr>
      </w:pPr>
    </w:p>
    <w:p w14:paraId="7BE4A638" w14:textId="77777777" w:rsidR="009E1558" w:rsidRPr="006E77D4" w:rsidRDefault="009E1558" w:rsidP="009E1558">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6E77D4">
        <w:rPr>
          <w:rFonts w:ascii="Times New Roman" w:eastAsia="Times New Roman" w:hAnsi="Times New Roman" w:cs="Times New Roman"/>
          <w:sz w:val="24"/>
          <w:szCs w:val="24"/>
          <w:u w:val="single"/>
          <w:lang w:val="en-US"/>
        </w:rPr>
        <w:t>Salaries and Expenses</w:t>
      </w:r>
      <w:r w:rsidRPr="006E77D4">
        <w:rPr>
          <w:rFonts w:ascii="Times New Roman" w:eastAsia="Times New Roman" w:hAnsi="Times New Roman" w:cs="Times New Roman"/>
          <w:i/>
          <w:iCs/>
          <w:sz w:val="24"/>
          <w:szCs w:val="24"/>
          <w:lang w:val="en-US"/>
        </w:rPr>
        <w:t xml:space="preserve">: </w:t>
      </w:r>
      <w:r w:rsidRPr="006E77D4">
        <w:rPr>
          <w:rFonts w:ascii="Times New Roman" w:eastAsia="Times New Roman" w:hAnsi="Times New Roman" w:cs="Times New Roman"/>
          <w:sz w:val="24"/>
          <w:szCs w:val="24"/>
          <w:lang w:val="en-US"/>
        </w:rPr>
        <w:t>In general, certain employees’ wages, salaries, and covered benefits are an eligible use of [ARP/CSLFRF] award funds; and</w:t>
      </w:r>
    </w:p>
    <w:p w14:paraId="0DC9AEF4" w14:textId="6DC6CFB9" w:rsidR="009E1558" w:rsidRPr="006E77D4" w:rsidRDefault="009E1558" w:rsidP="009E1558">
      <w:pPr>
        <w:spacing w:line="240" w:lineRule="auto"/>
        <w:rPr>
          <w:rFonts w:ascii="Times New Roman" w:hAnsi="Times New Roman" w:cs="Times New Roman"/>
          <w:sz w:val="24"/>
          <w:szCs w:val="24"/>
        </w:rPr>
      </w:pPr>
      <w:r w:rsidRPr="006E77D4">
        <w:rPr>
          <w:rFonts w:ascii="Times New Roman" w:hAnsi="Times New Roman" w:cs="Times New Roman"/>
          <w:b/>
          <w:bCs/>
          <w:sz w:val="24"/>
          <w:szCs w:val="24"/>
        </w:rPr>
        <w:t>WHEREAS</w:t>
      </w:r>
      <w:r w:rsidRPr="006E77D4">
        <w:rPr>
          <w:rFonts w:ascii="Times New Roman" w:hAnsi="Times New Roman" w:cs="Times New Roman"/>
          <w:sz w:val="24"/>
          <w:szCs w:val="24"/>
        </w:rPr>
        <w:t xml:space="preserve"> Subpart E of the UG dictates allowable costs and cost principles for expenditure of ARP/CSLFRF funds; </w:t>
      </w:r>
      <w:r>
        <w:rPr>
          <w:rFonts w:ascii="Times New Roman" w:hAnsi="Times New Roman" w:cs="Times New Roman"/>
          <w:sz w:val="24"/>
          <w:szCs w:val="24"/>
        </w:rPr>
        <w:t>and</w:t>
      </w:r>
    </w:p>
    <w:p w14:paraId="1BDD31C1" w14:textId="77777777" w:rsidR="009E1558" w:rsidRDefault="009E1558" w:rsidP="009E1558">
      <w:pPr>
        <w:spacing w:line="240" w:lineRule="auto"/>
        <w:rPr>
          <w:rFonts w:ascii="Times New Roman" w:hAnsi="Times New Roman" w:cs="Times New Roman"/>
          <w:b/>
          <w:bCs/>
          <w:sz w:val="24"/>
          <w:szCs w:val="24"/>
        </w:rPr>
      </w:pPr>
    </w:p>
    <w:p w14:paraId="648C44D3" w14:textId="77777777" w:rsidR="009E1558" w:rsidRDefault="009E1558" w:rsidP="009E1558">
      <w:pPr>
        <w:spacing w:line="240" w:lineRule="auto"/>
        <w:rPr>
          <w:rFonts w:ascii="Times New Roman" w:hAnsi="Times New Roman" w:cs="Times New Roman"/>
          <w:b/>
          <w:bCs/>
          <w:sz w:val="24"/>
          <w:szCs w:val="24"/>
        </w:rPr>
      </w:pPr>
    </w:p>
    <w:p w14:paraId="0D497CD1" w14:textId="0FCA7236" w:rsidR="009E1558" w:rsidRPr="006E77D4" w:rsidRDefault="009E1558" w:rsidP="009E1558">
      <w:pPr>
        <w:spacing w:line="240" w:lineRule="auto"/>
        <w:rPr>
          <w:rFonts w:ascii="Times New Roman" w:eastAsia="Times New Roman" w:hAnsi="Times New Roman" w:cs="Times New Roman"/>
          <w:color w:val="000000"/>
          <w:sz w:val="24"/>
          <w:szCs w:val="24"/>
          <w:lang w:val="en-US"/>
        </w:rPr>
      </w:pPr>
      <w:r w:rsidRPr="006E77D4">
        <w:rPr>
          <w:rFonts w:ascii="Times New Roman" w:hAnsi="Times New Roman" w:cs="Times New Roman"/>
          <w:b/>
          <w:bCs/>
          <w:sz w:val="24"/>
          <w:szCs w:val="24"/>
        </w:rPr>
        <w:lastRenderedPageBreak/>
        <w:t>WHER</w:t>
      </w:r>
      <w:r>
        <w:rPr>
          <w:rFonts w:ascii="Times New Roman" w:hAnsi="Times New Roman" w:cs="Times New Roman"/>
          <w:b/>
          <w:bCs/>
          <w:sz w:val="24"/>
          <w:szCs w:val="24"/>
        </w:rPr>
        <w:t>E</w:t>
      </w:r>
      <w:r w:rsidRPr="006E77D4">
        <w:rPr>
          <w:rFonts w:ascii="Times New Roman" w:hAnsi="Times New Roman" w:cs="Times New Roman"/>
          <w:b/>
          <w:bCs/>
          <w:sz w:val="24"/>
          <w:szCs w:val="24"/>
        </w:rPr>
        <w:t>AS</w:t>
      </w:r>
      <w:r w:rsidRPr="006E77D4">
        <w:rPr>
          <w:rFonts w:ascii="Times New Roman" w:hAnsi="Times New Roman" w:cs="Times New Roman"/>
          <w:sz w:val="24"/>
          <w:szCs w:val="24"/>
        </w:rPr>
        <w:t xml:space="preserve"> </w:t>
      </w:r>
      <w:r w:rsidRPr="006E77D4">
        <w:rPr>
          <w:rFonts w:ascii="Times New Roman" w:eastAsia="Times New Roman" w:hAnsi="Times New Roman" w:cs="Times New Roman"/>
          <w:color w:val="000000"/>
          <w:sz w:val="24"/>
          <w:szCs w:val="24"/>
          <w:lang w:val="en-US"/>
        </w:rPr>
        <w:t xml:space="preserve">Subpart E of the UG (specifically, 200.400) states that: </w:t>
      </w:r>
    </w:p>
    <w:p w14:paraId="57461DEA" w14:textId="77777777" w:rsidR="009E1558" w:rsidRPr="006E77D4" w:rsidRDefault="009E1558" w:rsidP="009E1558">
      <w:pPr>
        <w:spacing w:line="240" w:lineRule="auto"/>
        <w:ind w:left="720"/>
        <w:rPr>
          <w:rFonts w:ascii="Times New Roman" w:eastAsia="Times New Roman" w:hAnsi="Times New Roman" w:cs="Times New Roman"/>
          <w:color w:val="000000"/>
          <w:sz w:val="24"/>
          <w:szCs w:val="24"/>
          <w:lang w:val="en-US"/>
        </w:rPr>
      </w:pPr>
      <w:r w:rsidRPr="006E77D4">
        <w:rPr>
          <w:rFonts w:ascii="Times New Roman" w:eastAsia="Times New Roman" w:hAnsi="Times New Roman" w:cs="Times New Roman"/>
          <w:color w:val="000000"/>
          <w:sz w:val="24"/>
          <w:szCs w:val="24"/>
          <w:lang w:val="en-US"/>
        </w:rPr>
        <w:t>The application of these cost principles is based on the fundamental premises that: </w:t>
      </w:r>
    </w:p>
    <w:p w14:paraId="37F6787E" w14:textId="77777777" w:rsidR="009E1558" w:rsidRPr="006E77D4" w:rsidRDefault="009E1558" w:rsidP="009E1558">
      <w:pPr>
        <w:pStyle w:val="ListParagraph"/>
        <w:numPr>
          <w:ilvl w:val="0"/>
          <w:numId w:val="3"/>
        </w:numPr>
        <w:spacing w:line="240" w:lineRule="auto"/>
        <w:rPr>
          <w:rFonts w:ascii="Times New Roman" w:eastAsia="Times New Roman" w:hAnsi="Times New Roman" w:cs="Times New Roman"/>
          <w:color w:val="000000"/>
          <w:sz w:val="24"/>
          <w:szCs w:val="24"/>
          <w:lang w:val="en-US"/>
        </w:rPr>
      </w:pPr>
      <w:r w:rsidRPr="006E77D4">
        <w:rPr>
          <w:rFonts w:ascii="Times New Roman" w:eastAsia="Times New Roman" w:hAnsi="Times New Roman" w:cs="Times New Roman"/>
          <w:color w:val="000000"/>
          <w:sz w:val="24"/>
          <w:szCs w:val="24"/>
          <w:lang w:val="en-US"/>
        </w:rPr>
        <w:t>The non-Federal entity is responsible for the efficient and effective administration of the Federal award through the application of sound management practices. </w:t>
      </w:r>
    </w:p>
    <w:p w14:paraId="0579557D" w14:textId="77777777" w:rsidR="009E1558" w:rsidRPr="006E77D4" w:rsidRDefault="009E1558" w:rsidP="009E1558">
      <w:pPr>
        <w:pStyle w:val="ListParagraph"/>
        <w:numPr>
          <w:ilvl w:val="0"/>
          <w:numId w:val="3"/>
        </w:numPr>
        <w:spacing w:line="240" w:lineRule="auto"/>
        <w:rPr>
          <w:rFonts w:ascii="Times New Roman" w:eastAsia="Times New Roman" w:hAnsi="Times New Roman" w:cs="Times New Roman"/>
          <w:color w:val="000000"/>
          <w:sz w:val="24"/>
          <w:szCs w:val="24"/>
          <w:lang w:val="en-US"/>
        </w:rPr>
      </w:pPr>
      <w:r w:rsidRPr="006E77D4">
        <w:rPr>
          <w:rFonts w:ascii="Times New Roman" w:eastAsia="Times New Roman" w:hAnsi="Times New Roman" w:cs="Times New Roman"/>
          <w:color w:val="000000"/>
          <w:sz w:val="24"/>
          <w:szCs w:val="24"/>
          <w:lang w:val="en-US"/>
        </w:rPr>
        <w:t>The non-Federal entity assumes responsibility for administering Federal funds in a manner consistent with underlying agreements, program objectives, and the terms and conditions of the Federal award. </w:t>
      </w:r>
    </w:p>
    <w:p w14:paraId="1AD15C7A" w14:textId="77777777" w:rsidR="009E1558" w:rsidRPr="006E77D4" w:rsidRDefault="009E1558" w:rsidP="009E1558">
      <w:pPr>
        <w:pStyle w:val="ListParagraph"/>
        <w:numPr>
          <w:ilvl w:val="0"/>
          <w:numId w:val="3"/>
        </w:numPr>
        <w:spacing w:line="240" w:lineRule="auto"/>
        <w:rPr>
          <w:rFonts w:ascii="Times New Roman" w:eastAsia="Times New Roman" w:hAnsi="Times New Roman" w:cs="Times New Roman"/>
          <w:color w:val="000000"/>
          <w:sz w:val="24"/>
          <w:szCs w:val="24"/>
          <w:lang w:val="en-US"/>
        </w:rPr>
      </w:pPr>
      <w:r w:rsidRPr="006E77D4">
        <w:rPr>
          <w:rFonts w:ascii="Times New Roman" w:eastAsia="Times New Roman" w:hAnsi="Times New Roman" w:cs="Times New Roman"/>
          <w:color w:val="000000"/>
          <w:sz w:val="24"/>
          <w:szCs w:val="24"/>
          <w:lang w:val="en-US"/>
        </w:rPr>
        <w:t xml:space="preserve">The non-Federal entity, in recognition of its own unique combination of staff, facilities, and experience, has the primary responsibility for employing whatever form of sound organization and management techniques may be necessary </w:t>
      </w:r>
      <w:proofErr w:type="gramStart"/>
      <w:r w:rsidRPr="006E77D4">
        <w:rPr>
          <w:rFonts w:ascii="Times New Roman" w:eastAsia="Times New Roman" w:hAnsi="Times New Roman" w:cs="Times New Roman"/>
          <w:color w:val="000000"/>
          <w:sz w:val="24"/>
          <w:szCs w:val="24"/>
          <w:lang w:val="en-US"/>
        </w:rPr>
        <w:t>in order to</w:t>
      </w:r>
      <w:proofErr w:type="gramEnd"/>
      <w:r w:rsidRPr="006E77D4">
        <w:rPr>
          <w:rFonts w:ascii="Times New Roman" w:eastAsia="Times New Roman" w:hAnsi="Times New Roman" w:cs="Times New Roman"/>
          <w:color w:val="000000"/>
          <w:sz w:val="24"/>
          <w:szCs w:val="24"/>
          <w:lang w:val="en-US"/>
        </w:rPr>
        <w:t xml:space="preserve"> assure proper and efficient administration of the Federal award. </w:t>
      </w:r>
    </w:p>
    <w:p w14:paraId="6CD57368" w14:textId="77777777" w:rsidR="009E1558" w:rsidRPr="006E77D4" w:rsidRDefault="009E1558" w:rsidP="009E1558">
      <w:pPr>
        <w:pStyle w:val="ListParagraph"/>
        <w:numPr>
          <w:ilvl w:val="0"/>
          <w:numId w:val="3"/>
        </w:numPr>
        <w:spacing w:line="240" w:lineRule="auto"/>
        <w:rPr>
          <w:rFonts w:ascii="Times New Roman" w:eastAsia="Times New Roman" w:hAnsi="Times New Roman" w:cs="Times New Roman"/>
          <w:color w:val="000000"/>
          <w:sz w:val="24"/>
          <w:szCs w:val="24"/>
          <w:lang w:val="en-US"/>
        </w:rPr>
      </w:pPr>
      <w:r w:rsidRPr="006E77D4">
        <w:rPr>
          <w:rFonts w:ascii="Times New Roman" w:eastAsia="Times New Roman" w:hAnsi="Times New Roman" w:cs="Times New Roman"/>
          <w:color w:val="000000"/>
          <w:sz w:val="24"/>
          <w:szCs w:val="24"/>
          <w:lang w:val="en-US"/>
        </w:rPr>
        <w:t xml:space="preserve">The application of these cost principles should require no significant changes in the internal accounting policies and practices of the non-Federal entity. However, the accounting practices of the non-Federal entity must be consistent with these cost principles and support the accumulation of costs as required by the </w:t>
      </w:r>
      <w:proofErr w:type="gramStart"/>
      <w:r w:rsidRPr="006E77D4">
        <w:rPr>
          <w:rFonts w:ascii="Times New Roman" w:eastAsia="Times New Roman" w:hAnsi="Times New Roman" w:cs="Times New Roman"/>
          <w:color w:val="000000"/>
          <w:sz w:val="24"/>
          <w:szCs w:val="24"/>
          <w:lang w:val="en-US"/>
        </w:rPr>
        <w:t>principles, and</w:t>
      </w:r>
      <w:proofErr w:type="gramEnd"/>
      <w:r w:rsidRPr="006E77D4">
        <w:rPr>
          <w:rFonts w:ascii="Times New Roman" w:eastAsia="Times New Roman" w:hAnsi="Times New Roman" w:cs="Times New Roman"/>
          <w:color w:val="000000"/>
          <w:sz w:val="24"/>
          <w:szCs w:val="24"/>
          <w:lang w:val="en-US"/>
        </w:rPr>
        <w:t xml:space="preserve"> must provide for adequate documentation to support costs charged to the Federal award. </w:t>
      </w:r>
    </w:p>
    <w:p w14:paraId="53B95ABC" w14:textId="77777777" w:rsidR="009E1558" w:rsidRPr="006E77D4" w:rsidRDefault="009E1558" w:rsidP="009E1558">
      <w:pPr>
        <w:pStyle w:val="ListParagraph"/>
        <w:numPr>
          <w:ilvl w:val="0"/>
          <w:numId w:val="3"/>
        </w:numPr>
        <w:spacing w:line="240" w:lineRule="auto"/>
        <w:rPr>
          <w:rFonts w:ascii="Times New Roman" w:eastAsia="Times New Roman" w:hAnsi="Times New Roman" w:cs="Times New Roman"/>
          <w:color w:val="000000"/>
          <w:sz w:val="24"/>
          <w:szCs w:val="24"/>
          <w:lang w:val="en-US"/>
        </w:rPr>
      </w:pPr>
      <w:r w:rsidRPr="006E77D4">
        <w:rPr>
          <w:rFonts w:ascii="Times New Roman" w:eastAsia="Times New Roman" w:hAnsi="Times New Roman" w:cs="Times New Roman"/>
          <w:color w:val="000000"/>
          <w:sz w:val="24"/>
          <w:szCs w:val="24"/>
          <w:lang w:val="en-US"/>
        </w:rPr>
        <w:t xml:space="preserve">In reviewing, </w:t>
      </w:r>
      <w:proofErr w:type="gramStart"/>
      <w:r w:rsidRPr="006E77D4">
        <w:rPr>
          <w:rFonts w:ascii="Times New Roman" w:eastAsia="Times New Roman" w:hAnsi="Times New Roman" w:cs="Times New Roman"/>
          <w:color w:val="000000"/>
          <w:sz w:val="24"/>
          <w:szCs w:val="24"/>
          <w:lang w:val="en-US"/>
        </w:rPr>
        <w:t>negotiating</w:t>
      </w:r>
      <w:proofErr w:type="gramEnd"/>
      <w:r w:rsidRPr="006E77D4">
        <w:rPr>
          <w:rFonts w:ascii="Times New Roman" w:eastAsia="Times New Roman" w:hAnsi="Times New Roman" w:cs="Times New Roman"/>
          <w:color w:val="000000"/>
          <w:sz w:val="24"/>
          <w:szCs w:val="24"/>
          <w:lang w:val="en-US"/>
        </w:rPr>
        <w:t xml:space="preserve"> and approving cost allocation plans or indirect cost proposals, the cognizant agency for indirect costs should generally assure that the non-Federal entity is applying these cost accounting principles on a consistent basis during their review and negotiation of indirect cost proposals. Where wide variations exist in the treatment of a given cost item by the non-Federal entity, the reasonableness and equity of such treatments should be fully considered. </w:t>
      </w:r>
    </w:p>
    <w:p w14:paraId="08DAC52D" w14:textId="77777777" w:rsidR="009E1558" w:rsidRPr="006E77D4" w:rsidRDefault="009E1558" w:rsidP="009E1558">
      <w:pPr>
        <w:pStyle w:val="ListParagraph"/>
        <w:numPr>
          <w:ilvl w:val="0"/>
          <w:numId w:val="3"/>
        </w:numPr>
        <w:spacing w:line="240" w:lineRule="auto"/>
        <w:rPr>
          <w:rFonts w:ascii="Times New Roman" w:eastAsia="Times New Roman" w:hAnsi="Times New Roman" w:cs="Times New Roman"/>
          <w:color w:val="000000"/>
          <w:sz w:val="24"/>
          <w:szCs w:val="24"/>
          <w:lang w:val="en-US"/>
        </w:rPr>
      </w:pPr>
      <w:r w:rsidRPr="006E77D4">
        <w:rPr>
          <w:rFonts w:ascii="Times New Roman" w:eastAsia="Times New Roman" w:hAnsi="Times New Roman" w:cs="Times New Roman"/>
          <w:color w:val="000000"/>
          <w:sz w:val="24"/>
          <w:szCs w:val="24"/>
          <w:lang w:val="en-US"/>
        </w:rPr>
        <w:t>For non-Federal entities that educate and engage students in research, the dual role of students as both trainees and employees (including pre- and post-doctoral staff) contributing to the completion of Federal awards for research must be recognized in the application of these principles. </w:t>
      </w:r>
    </w:p>
    <w:p w14:paraId="4BCB11E2" w14:textId="77777777" w:rsidR="009E1558" w:rsidRPr="006E77D4" w:rsidRDefault="009E1558" w:rsidP="009E1558">
      <w:pPr>
        <w:pStyle w:val="ListParagraph"/>
        <w:numPr>
          <w:ilvl w:val="0"/>
          <w:numId w:val="3"/>
        </w:numPr>
        <w:spacing w:line="240" w:lineRule="auto"/>
        <w:rPr>
          <w:rFonts w:ascii="Times New Roman" w:eastAsia="Times New Roman" w:hAnsi="Times New Roman" w:cs="Times New Roman"/>
          <w:color w:val="000000"/>
          <w:sz w:val="24"/>
          <w:szCs w:val="24"/>
          <w:lang w:val="en-US"/>
        </w:rPr>
      </w:pPr>
      <w:r w:rsidRPr="006E77D4">
        <w:rPr>
          <w:rFonts w:ascii="Times New Roman" w:eastAsia="Times New Roman" w:hAnsi="Times New Roman" w:cs="Times New Roman"/>
          <w:color w:val="000000"/>
          <w:sz w:val="24"/>
          <w:szCs w:val="24"/>
          <w:lang w:val="en-US"/>
        </w:rPr>
        <w:t xml:space="preserve">The non-Federal entity may not earn or keep any profit resulting from Federal financial assistance, unless explicitly authorized by the terms and conditions of the Federal </w:t>
      </w:r>
      <w:proofErr w:type="gramStart"/>
      <w:r w:rsidRPr="006E77D4">
        <w:rPr>
          <w:rFonts w:ascii="Times New Roman" w:eastAsia="Times New Roman" w:hAnsi="Times New Roman" w:cs="Times New Roman"/>
          <w:color w:val="000000"/>
          <w:sz w:val="24"/>
          <w:szCs w:val="24"/>
          <w:lang w:val="en-US"/>
        </w:rPr>
        <w:t>award;</w:t>
      </w:r>
      <w:proofErr w:type="gramEnd"/>
    </w:p>
    <w:p w14:paraId="4879F054" w14:textId="43BF5FAD" w:rsidR="009E1558" w:rsidRPr="006E77D4" w:rsidRDefault="009E1558" w:rsidP="009E1558">
      <w:pPr>
        <w:spacing w:line="240" w:lineRule="auto"/>
        <w:rPr>
          <w:rFonts w:ascii="Times New Roman" w:eastAsia="Arial" w:hAnsi="Times New Roman" w:cs="Times New Roman"/>
          <w:sz w:val="24"/>
          <w:szCs w:val="24"/>
        </w:rPr>
      </w:pPr>
      <w:r w:rsidRPr="006E77D4">
        <w:rPr>
          <w:rFonts w:ascii="Times New Roman" w:hAnsi="Times New Roman" w:cs="Times New Roman"/>
          <w:b/>
          <w:bCs/>
          <w:sz w:val="24"/>
          <w:szCs w:val="24"/>
        </w:rPr>
        <w:t>BE IT RESOLVED</w:t>
      </w:r>
      <w:r w:rsidRPr="006E77D4">
        <w:rPr>
          <w:rFonts w:ascii="Times New Roman" w:hAnsi="Times New Roman" w:cs="Times New Roman"/>
          <w:sz w:val="24"/>
          <w:szCs w:val="24"/>
        </w:rPr>
        <w:t xml:space="preserve"> that the governing board of [LOCAL GOVERNMENT NAME] hereby adopts and enacts the following </w:t>
      </w:r>
      <w:r>
        <w:rPr>
          <w:rFonts w:ascii="Times New Roman" w:hAnsi="Times New Roman" w:cs="Times New Roman"/>
          <w:sz w:val="24"/>
          <w:szCs w:val="24"/>
        </w:rPr>
        <w:t>US Cost Principles Policy</w:t>
      </w:r>
      <w:r w:rsidRPr="006E77D4">
        <w:rPr>
          <w:rFonts w:ascii="Times New Roman" w:hAnsi="Times New Roman" w:cs="Times New Roman"/>
          <w:sz w:val="24"/>
          <w:szCs w:val="24"/>
        </w:rPr>
        <w:t xml:space="preserve"> for the expenditure of ARP/CSLFRF funds.</w:t>
      </w:r>
    </w:p>
    <w:p w14:paraId="1F237B2B" w14:textId="77777777" w:rsidR="001E0A6E" w:rsidRDefault="001E0A6E" w:rsidP="009E1558">
      <w:pPr>
        <w:pStyle w:val="Heading4"/>
        <w:rPr>
          <w:rFonts w:ascii="Times New Roman" w:hAnsi="Times New Roman" w:cs="Times New Roman"/>
          <w:b/>
          <w:bCs/>
          <w:sz w:val="24"/>
          <w:szCs w:val="24"/>
          <w:lang w:val="en-US"/>
        </w:rPr>
      </w:pPr>
    </w:p>
    <w:p w14:paraId="32C02E29" w14:textId="77777777" w:rsidR="001E0A6E" w:rsidRDefault="001E0A6E" w:rsidP="009E1558">
      <w:pPr>
        <w:pStyle w:val="Heading4"/>
        <w:rPr>
          <w:rFonts w:ascii="Times New Roman" w:hAnsi="Times New Roman" w:cs="Times New Roman"/>
          <w:b/>
          <w:bCs/>
          <w:sz w:val="24"/>
          <w:szCs w:val="24"/>
          <w:lang w:val="en-US"/>
        </w:rPr>
      </w:pPr>
    </w:p>
    <w:p w14:paraId="4CCBE26E" w14:textId="77777777" w:rsidR="001E0A6E" w:rsidRDefault="001E0A6E" w:rsidP="009E1558">
      <w:pPr>
        <w:pStyle w:val="Heading4"/>
        <w:rPr>
          <w:rFonts w:ascii="Times New Roman" w:hAnsi="Times New Roman" w:cs="Times New Roman"/>
          <w:b/>
          <w:bCs/>
          <w:sz w:val="24"/>
          <w:szCs w:val="24"/>
          <w:lang w:val="en-US"/>
        </w:rPr>
      </w:pPr>
    </w:p>
    <w:p w14:paraId="1DF4CB82" w14:textId="77777777" w:rsidR="001E0A6E" w:rsidRDefault="001E0A6E" w:rsidP="009E1558">
      <w:pPr>
        <w:pStyle w:val="Heading4"/>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SAMPLE </w:t>
      </w:r>
      <w:r w:rsidR="009E1558" w:rsidRPr="006E77D4">
        <w:rPr>
          <w:rFonts w:ascii="Times New Roman" w:hAnsi="Times New Roman" w:cs="Times New Roman"/>
          <w:b/>
          <w:bCs/>
          <w:sz w:val="24"/>
          <w:szCs w:val="24"/>
          <w:lang w:val="en-US"/>
        </w:rPr>
        <w:t xml:space="preserve">ALLOWABLE COSTS AND COSTS PRINCIPLES POLICY </w:t>
      </w:r>
    </w:p>
    <w:p w14:paraId="0905AF92" w14:textId="3BA0AC0A" w:rsidR="009E1558" w:rsidRPr="006E77D4" w:rsidRDefault="009E1558" w:rsidP="009E1558">
      <w:pPr>
        <w:pStyle w:val="Heading4"/>
        <w:rPr>
          <w:rFonts w:ascii="Times New Roman" w:eastAsia="Arial" w:hAnsi="Times New Roman" w:cs="Times New Roman"/>
          <w:b/>
          <w:bCs/>
          <w:sz w:val="24"/>
          <w:szCs w:val="24"/>
          <w:lang w:val="en-US"/>
        </w:rPr>
      </w:pPr>
      <w:r w:rsidRPr="006E77D4">
        <w:rPr>
          <w:rFonts w:ascii="Times New Roman" w:hAnsi="Times New Roman" w:cs="Times New Roman"/>
          <w:b/>
          <w:bCs/>
          <w:sz w:val="24"/>
          <w:szCs w:val="24"/>
          <w:lang w:val="en-US"/>
        </w:rPr>
        <w:t>OVERVIEW</w:t>
      </w:r>
    </w:p>
    <w:p w14:paraId="3A2D1A7A" w14:textId="77777777" w:rsidR="009E1558" w:rsidRPr="006E77D4" w:rsidRDefault="00FF20A0" w:rsidP="009E1558">
      <w:pPr>
        <w:spacing w:line="240" w:lineRule="auto"/>
        <w:jc w:val="left"/>
        <w:rPr>
          <w:rFonts w:ascii="Times New Roman" w:eastAsia="Times New Roman" w:hAnsi="Times New Roman" w:cs="Times New Roman"/>
          <w:sz w:val="24"/>
          <w:szCs w:val="24"/>
          <w:lang w:val="en-US"/>
        </w:rPr>
      </w:pPr>
      <w:hyperlink r:id="rId10" w:tgtFrame="_blank" w:tooltip="Title 2 U.S. Code of Federal Regulations Part 200" w:history="1">
        <w:r w:rsidR="009E1558" w:rsidRPr="006E77D4">
          <w:rPr>
            <w:rStyle w:val="Hyperlink"/>
            <w:rFonts w:ascii="Times New Roman" w:eastAsia="Times New Roman" w:hAnsi="Times New Roman" w:cs="Times New Roman"/>
            <w:sz w:val="24"/>
            <w:szCs w:val="24"/>
            <w:lang w:val="en-US"/>
          </w:rPr>
          <w:t>Title 2 U.S. Code of Federal Regulations Part 200</w:t>
        </w:r>
      </w:hyperlink>
      <w:r w:rsidR="009E1558" w:rsidRPr="006E77D4">
        <w:rPr>
          <w:rFonts w:ascii="Times New Roman" w:eastAsia="Times New Roman" w:hAnsi="Times New Roman" w:cs="Times New Roman"/>
          <w:sz w:val="24"/>
          <w:szCs w:val="24"/>
          <w:lang w:val="en-US"/>
        </w:rPr>
        <w:t xml:space="preserve">, Uniform Administrative Requirements, Cost Principles, and Audit Requirements for Federal Awards, commonly called Uniform Guidance (UG), specifically Subpart E, defines those items of cost that are allowable, and which are unallowable. The tests of allowability under these principles are: (a) the costs must be reasonable; (b) they must be allocable to eligible projects under the </w:t>
      </w:r>
      <w:r w:rsidR="009E1558" w:rsidRPr="006E77D4">
        <w:rPr>
          <w:rFonts w:ascii="Times New Roman" w:hAnsi="Times New Roman" w:cs="Times New Roman"/>
          <w:sz w:val="24"/>
          <w:szCs w:val="24"/>
        </w:rPr>
        <w:t>Coronavirus State and Local Fiscal Recovery Funds of H.R. 1319 American Rescue Plan Act of 2021 (ARP/CSLFRF)</w:t>
      </w:r>
      <w:r w:rsidR="009E1558" w:rsidRPr="006E77D4">
        <w:rPr>
          <w:rFonts w:ascii="Times New Roman" w:eastAsia="Times New Roman" w:hAnsi="Times New Roman" w:cs="Times New Roman"/>
          <w:sz w:val="24"/>
          <w:szCs w:val="24"/>
          <w:lang w:val="en-US"/>
        </w:rPr>
        <w:t xml:space="preserve">; (c) </w:t>
      </w:r>
      <w:r w:rsidR="009E1558" w:rsidRPr="006E77D4">
        <w:rPr>
          <w:rFonts w:ascii="Times New Roman" w:eastAsia="Times New Roman" w:hAnsi="Times New Roman" w:cs="Times New Roman"/>
          <w:sz w:val="24"/>
          <w:szCs w:val="24"/>
          <w:lang w:val="en-US"/>
        </w:rPr>
        <w:lastRenderedPageBreak/>
        <w:t>they must be given consistent treatment through application of those generally accepted accounting principles appropriate to the circumstances; and (d) they must conform to any limitations or exclusions set forth in these principles or in the ARP/CSLFRF grant award as to types or amounts of cost items. Unallowable items fall into two categories: expenses which are by their nature unallowable (e.g., alcohol), and unallowable activities (e.g., fund raising).</w:t>
      </w:r>
    </w:p>
    <w:p w14:paraId="6F5D9B20" w14:textId="1FC644E5" w:rsidR="009E1558" w:rsidRPr="006E77D4" w:rsidRDefault="009E1558" w:rsidP="009E1558">
      <w:p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u w:val="single"/>
        </w:rPr>
        <w:t>[LOCAL GOVERNMENT NAME]</w:t>
      </w:r>
      <w:r w:rsidRPr="006E77D4">
        <w:rPr>
          <w:rFonts w:ascii="Times New Roman" w:eastAsia="Times New Roman" w:hAnsi="Times New Roman" w:cs="Times New Roman"/>
          <w:sz w:val="24"/>
          <w:szCs w:val="24"/>
        </w:rPr>
        <w:t xml:space="preserve"> shall adhere to all applicable cost principles governing the use of federal grants. This policy addresses the proper classification of both direct and indirect charges to ARP/CSLFRF funded projects and enacts procedures to ensure that proposed and actual expenditures are consistent with the ARP/CSLFRF grant award terms and all applicable federal regulations in the UG. </w:t>
      </w:r>
    </w:p>
    <w:p w14:paraId="75150E89" w14:textId="77777777" w:rsidR="009E1558" w:rsidRPr="006E77D4" w:rsidRDefault="009E1558" w:rsidP="009E1558">
      <w:p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lang w:val="en-US"/>
        </w:rPr>
        <w:t xml:space="preserve">Responsibility for following these guidelines lies with [LIST APPROPRIATE LOCAL GOVERNMENT OFFICIALS AND EMPLOYEE POSITION TITLES HERE], who are charged with the administration and financial oversight of the ARP/CSLFRF. Further, all local government </w:t>
      </w:r>
      <w:r w:rsidRPr="006E77D4">
        <w:rPr>
          <w:rFonts w:ascii="Times New Roman" w:eastAsia="Times New Roman" w:hAnsi="Times New Roman" w:cs="Times New Roman"/>
          <w:sz w:val="24"/>
          <w:szCs w:val="24"/>
        </w:rPr>
        <w:t xml:space="preserve">employees and officials who are involved in obligating, administering, expending, or monitoring ARP/CSLFRF grant funded projects should be well versed with the categories of costs that are generally allowable and unallowable. </w:t>
      </w:r>
      <w:r w:rsidRPr="006E77D4">
        <w:rPr>
          <w:rFonts w:ascii="Times New Roman" w:eastAsia="Times New Roman" w:hAnsi="Times New Roman" w:cs="Times New Roman"/>
          <w:sz w:val="24"/>
          <w:szCs w:val="24"/>
          <w:lang w:val="en-US"/>
        </w:rPr>
        <w:t>Questions on the allowability of costs should be directed to [LIST APPROPRIATE LOCAL GOVERNMENT DEPARTMENT OR POSITION HERE]. As questions on allowability of certain costs may require interpretation and judgment, local government personnel are encouraged to ask for assistance in making those determinations.</w:t>
      </w:r>
    </w:p>
    <w:p w14:paraId="43DB9DF9" w14:textId="77777777" w:rsidR="009E1558" w:rsidRPr="006E77D4" w:rsidRDefault="009E1558" w:rsidP="009E1558">
      <w:pPr>
        <w:pStyle w:val="Heading4"/>
        <w:rPr>
          <w:rFonts w:ascii="Times New Roman" w:eastAsia="Times New Roman" w:hAnsi="Times New Roman" w:cs="Times New Roman"/>
          <w:b/>
          <w:bCs/>
          <w:sz w:val="24"/>
          <w:szCs w:val="24"/>
        </w:rPr>
      </w:pPr>
      <w:r w:rsidRPr="006E77D4">
        <w:rPr>
          <w:rFonts w:ascii="Times New Roman" w:hAnsi="Times New Roman" w:cs="Times New Roman"/>
          <w:b/>
          <w:bCs/>
          <w:sz w:val="24"/>
          <w:szCs w:val="24"/>
        </w:rPr>
        <w:t>GENERAL COST ALLOWABILITY CRITERIA</w:t>
      </w:r>
    </w:p>
    <w:p w14:paraId="5B482B34" w14:textId="77777777" w:rsidR="009E1558" w:rsidRPr="006E77D4" w:rsidRDefault="009E1558" w:rsidP="009E1558">
      <w:p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All costs expended using ARP/CSLFRF funds must meet the following general criteria:</w:t>
      </w:r>
    </w:p>
    <w:p w14:paraId="7AAE4A3F" w14:textId="77777777" w:rsidR="009E1558" w:rsidRPr="006E77D4" w:rsidRDefault="009E1558" w:rsidP="009E1558">
      <w:pPr>
        <w:pStyle w:val="ListParagraph"/>
        <w:numPr>
          <w:ilvl w:val="0"/>
          <w:numId w:val="4"/>
        </w:numPr>
        <w:spacing w:line="240" w:lineRule="auto"/>
        <w:jc w:val="left"/>
        <w:rPr>
          <w:rFonts w:ascii="Times New Roman" w:hAnsi="Times New Roman" w:cs="Times New Roman"/>
          <w:sz w:val="24"/>
          <w:szCs w:val="24"/>
        </w:rPr>
      </w:pPr>
      <w:r w:rsidRPr="006E77D4">
        <w:rPr>
          <w:rFonts w:ascii="Times New Roman" w:eastAsia="Times New Roman" w:hAnsi="Times New Roman" w:cs="Times New Roman"/>
          <w:b/>
          <w:sz w:val="24"/>
          <w:szCs w:val="24"/>
        </w:rPr>
        <w:t xml:space="preserve">Be necessary and reasonable for the proper and efficient performance and administration of the grant program. </w:t>
      </w:r>
    </w:p>
    <w:p w14:paraId="0B63435C" w14:textId="77777777" w:rsidR="009E1558" w:rsidRPr="006E77D4" w:rsidRDefault="009E1558" w:rsidP="009E1558">
      <w:pPr>
        <w:spacing w:line="240" w:lineRule="auto"/>
        <w:ind w:left="720"/>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 xml:space="preserve">A cost must be </w:t>
      </w:r>
      <w:r w:rsidRPr="006E77D4">
        <w:rPr>
          <w:rFonts w:ascii="Times New Roman" w:eastAsia="Times New Roman" w:hAnsi="Times New Roman" w:cs="Times New Roman"/>
          <w:i/>
          <w:iCs/>
          <w:sz w:val="24"/>
          <w:szCs w:val="24"/>
        </w:rPr>
        <w:t>necessary</w:t>
      </w:r>
      <w:r w:rsidRPr="006E77D4">
        <w:rPr>
          <w:rFonts w:ascii="Times New Roman" w:eastAsia="Times New Roman" w:hAnsi="Times New Roman" w:cs="Times New Roman"/>
          <w:sz w:val="24"/>
          <w:szCs w:val="24"/>
        </w:rPr>
        <w:t xml:space="preserve"> to achieve a project object. When determining whether a cost is necessary, consideration may be given to:</w:t>
      </w:r>
    </w:p>
    <w:p w14:paraId="7A1BC642" w14:textId="77777777" w:rsidR="009E1558" w:rsidRPr="006E77D4" w:rsidRDefault="009E1558" w:rsidP="009E1558">
      <w:pPr>
        <w:numPr>
          <w:ilvl w:val="1"/>
          <w:numId w:val="1"/>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Whether the cost is needed for the proper and efficient performance of the grant project.</w:t>
      </w:r>
    </w:p>
    <w:p w14:paraId="1691C7C4" w14:textId="77777777" w:rsidR="009E1558" w:rsidRPr="006E77D4" w:rsidRDefault="009E1558" w:rsidP="009E1558">
      <w:pPr>
        <w:numPr>
          <w:ilvl w:val="1"/>
          <w:numId w:val="1"/>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Whether the cost is identified in the approved project budget or application.</w:t>
      </w:r>
    </w:p>
    <w:p w14:paraId="71A9725B" w14:textId="77777777" w:rsidR="009E1558" w:rsidRPr="006E77D4" w:rsidRDefault="009E1558" w:rsidP="009E1558">
      <w:pPr>
        <w:numPr>
          <w:ilvl w:val="1"/>
          <w:numId w:val="1"/>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Whether the cost aligns with identified needs based on results and findings from a needs assessment.</w:t>
      </w:r>
    </w:p>
    <w:p w14:paraId="0C950A31" w14:textId="77777777" w:rsidR="009E1558" w:rsidRPr="006E77D4" w:rsidRDefault="009E1558" w:rsidP="009E1558">
      <w:pPr>
        <w:numPr>
          <w:ilvl w:val="1"/>
          <w:numId w:val="1"/>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 xml:space="preserve">Whether the cost addresses project goals and objectives and is based on program data. </w:t>
      </w:r>
    </w:p>
    <w:p w14:paraId="4CB4BA77" w14:textId="77777777" w:rsidR="009E1558" w:rsidRPr="006E77D4" w:rsidRDefault="009E1558" w:rsidP="009E1558">
      <w:pPr>
        <w:pStyle w:val="ListParagraph"/>
        <w:spacing w:line="240" w:lineRule="auto"/>
        <w:jc w:val="left"/>
        <w:rPr>
          <w:rFonts w:ascii="Times New Roman" w:hAnsi="Times New Roman" w:cs="Times New Roman"/>
          <w:sz w:val="24"/>
          <w:szCs w:val="24"/>
        </w:rPr>
      </w:pPr>
      <w:r w:rsidRPr="006E77D4">
        <w:rPr>
          <w:rFonts w:ascii="Times New Roman" w:eastAsia="Times New Roman" w:hAnsi="Times New Roman" w:cs="Times New Roman"/>
          <w:sz w:val="24"/>
          <w:szCs w:val="24"/>
        </w:rPr>
        <w:t xml:space="preserve">A cost is </w:t>
      </w:r>
      <w:r w:rsidRPr="006E77D4">
        <w:rPr>
          <w:rFonts w:ascii="Times New Roman" w:eastAsia="Times New Roman" w:hAnsi="Times New Roman" w:cs="Times New Roman"/>
          <w:i/>
          <w:iCs/>
          <w:sz w:val="24"/>
          <w:szCs w:val="24"/>
        </w:rPr>
        <w:t xml:space="preserve">reasonable </w:t>
      </w:r>
      <w:r w:rsidRPr="006E77D4">
        <w:rPr>
          <w:rFonts w:ascii="Times New Roman" w:eastAsia="Times New Roman" w:hAnsi="Times New Roman" w:cs="Times New Roman"/>
          <w:sz w:val="24"/>
          <w:szCs w:val="24"/>
        </w:rPr>
        <w:t>if, in its nature and amount, it does not exceed that which would be incurred by a prudent person under the circumstances prevailing at the time the decision to incur the cost was made. For example, reasonable means that sound business practices were followed, and purchases were comparable to market prices. When determining reasonableness of a cost, consideration must be given to:</w:t>
      </w:r>
    </w:p>
    <w:p w14:paraId="4C6237B4" w14:textId="77777777" w:rsidR="009E1558" w:rsidRPr="006E77D4" w:rsidRDefault="009E1558" w:rsidP="009E1558">
      <w:pPr>
        <w:numPr>
          <w:ilvl w:val="1"/>
          <w:numId w:val="1"/>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lastRenderedPageBreak/>
        <w:t xml:space="preserve">Whether the cost is a type generally recognized as ordinary and necessary for the operation of the </w:t>
      </w:r>
      <w:r w:rsidRPr="006E77D4">
        <w:rPr>
          <w:rFonts w:ascii="Times New Roman" w:eastAsia="Times New Roman" w:hAnsi="Times New Roman" w:cs="Times New Roman"/>
          <w:sz w:val="24"/>
          <w:szCs w:val="24"/>
          <w:u w:val="single"/>
        </w:rPr>
        <w:t>[LOCAL GOVERNMENT NAME]</w:t>
      </w:r>
      <w:r w:rsidRPr="006E77D4">
        <w:rPr>
          <w:rFonts w:ascii="Times New Roman" w:eastAsia="Times New Roman" w:hAnsi="Times New Roman" w:cs="Times New Roman"/>
          <w:sz w:val="24"/>
          <w:szCs w:val="24"/>
        </w:rPr>
        <w:t xml:space="preserve"> or the proper and efficient performance of the federal award.</w:t>
      </w:r>
    </w:p>
    <w:p w14:paraId="6EFFD160" w14:textId="77777777" w:rsidR="009E1558" w:rsidRPr="006E77D4" w:rsidRDefault="009E1558" w:rsidP="009E1558">
      <w:pPr>
        <w:numPr>
          <w:ilvl w:val="1"/>
          <w:numId w:val="1"/>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The restraints or requirements imposed by factors, such as: sound business practices; arm’s-length bargaining; federal, state, and other laws and regulations; and terms and conditions of the ARP/CSLFRF award.</w:t>
      </w:r>
    </w:p>
    <w:p w14:paraId="671039AC" w14:textId="77777777" w:rsidR="009E1558" w:rsidRPr="006E77D4" w:rsidRDefault="009E1558" w:rsidP="009E1558">
      <w:pPr>
        <w:numPr>
          <w:ilvl w:val="1"/>
          <w:numId w:val="1"/>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Market prices for comparable goods or services for the geographic area.</w:t>
      </w:r>
    </w:p>
    <w:p w14:paraId="7481679A" w14:textId="77777777" w:rsidR="009E1558" w:rsidRPr="006E77D4" w:rsidRDefault="009E1558" w:rsidP="009E1558">
      <w:pPr>
        <w:numPr>
          <w:ilvl w:val="1"/>
          <w:numId w:val="1"/>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 xml:space="preserve">Whether individuals concerned acted with prudence in the circumstances considering their responsibilities to </w:t>
      </w:r>
      <w:r w:rsidRPr="006E77D4">
        <w:rPr>
          <w:rFonts w:ascii="Times New Roman" w:eastAsia="Times New Roman" w:hAnsi="Times New Roman" w:cs="Times New Roman"/>
          <w:sz w:val="24"/>
          <w:szCs w:val="24"/>
          <w:u w:val="single"/>
        </w:rPr>
        <w:t>[LOCAL GOVERNMENT NAME]</w:t>
      </w:r>
      <w:r w:rsidRPr="006E77D4">
        <w:rPr>
          <w:rFonts w:ascii="Times New Roman" w:eastAsia="Times New Roman" w:hAnsi="Times New Roman" w:cs="Times New Roman"/>
          <w:sz w:val="24"/>
          <w:szCs w:val="24"/>
        </w:rPr>
        <w:t>, its employees, the public at large, and the federal government.</w:t>
      </w:r>
    </w:p>
    <w:p w14:paraId="23708345" w14:textId="77777777" w:rsidR="009E1558" w:rsidRPr="006E77D4" w:rsidRDefault="009E1558" w:rsidP="009E1558">
      <w:pPr>
        <w:numPr>
          <w:ilvl w:val="1"/>
          <w:numId w:val="1"/>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 xml:space="preserve">Whether </w:t>
      </w:r>
      <w:r w:rsidRPr="006E77D4">
        <w:rPr>
          <w:rFonts w:ascii="Times New Roman" w:eastAsia="Times New Roman" w:hAnsi="Times New Roman" w:cs="Times New Roman"/>
          <w:sz w:val="24"/>
          <w:szCs w:val="24"/>
          <w:u w:val="single"/>
        </w:rPr>
        <w:t>[LOCAL GOVERNMENT NAME]</w:t>
      </w:r>
      <w:r w:rsidRPr="006E77D4">
        <w:rPr>
          <w:rFonts w:ascii="Times New Roman" w:eastAsia="Times New Roman" w:hAnsi="Times New Roman" w:cs="Times New Roman"/>
          <w:sz w:val="24"/>
          <w:szCs w:val="24"/>
        </w:rPr>
        <w:t xml:space="preserve"> significantly deviates from its established practices and policies regarding the incurrence of costs, which may unjustifiably increase the ARP/CSLFRF award’s cost.</w:t>
      </w:r>
    </w:p>
    <w:p w14:paraId="2E68BF84" w14:textId="77777777" w:rsidR="009E1558" w:rsidRPr="006E77D4" w:rsidRDefault="009E1558" w:rsidP="009E1558">
      <w:pPr>
        <w:pStyle w:val="ListParagraph"/>
        <w:numPr>
          <w:ilvl w:val="0"/>
          <w:numId w:val="4"/>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b/>
          <w:sz w:val="24"/>
          <w:szCs w:val="24"/>
        </w:rPr>
        <w:t xml:space="preserve">Be allocable to the ARP/CSLFRF federal award. </w:t>
      </w:r>
      <w:r w:rsidRPr="006E77D4">
        <w:rPr>
          <w:rFonts w:ascii="Times New Roman" w:eastAsia="Times New Roman" w:hAnsi="Times New Roman" w:cs="Times New Roman"/>
          <w:sz w:val="24"/>
          <w:szCs w:val="24"/>
        </w:rPr>
        <w:t xml:space="preserve">A cost is allocable to the ARP/CSLFRF award if the goods or services involved are chargeable or assignable to the ARP/CSLFRF award in accordance with the relative benefit received. This means that the ARP/CSLFRF grant program derived a benefit in proportion to the funds charged to the program. </w:t>
      </w:r>
      <w:r w:rsidRPr="006E77D4">
        <w:rPr>
          <w:rFonts w:ascii="Times New Roman" w:eastAsia="Times New Roman" w:hAnsi="Times New Roman" w:cs="Times New Roman"/>
          <w:i/>
          <w:iCs/>
          <w:sz w:val="24"/>
          <w:szCs w:val="24"/>
        </w:rPr>
        <w:t>For example, if 50 percent of a local government program officer’s salary is paid with grant funds, then the local government must document that the program officer spent at least 50 percent of his/her time on the grant program.</w:t>
      </w:r>
    </w:p>
    <w:p w14:paraId="0387EF71" w14:textId="77777777" w:rsidR="009E1558" w:rsidRPr="006E77D4" w:rsidRDefault="009E1558" w:rsidP="009E1558">
      <w:pPr>
        <w:pStyle w:val="ListParagraph"/>
        <w:spacing w:line="240" w:lineRule="auto"/>
        <w:jc w:val="left"/>
        <w:rPr>
          <w:rFonts w:ascii="Times New Roman" w:eastAsia="Times New Roman" w:hAnsi="Times New Roman" w:cs="Times New Roman"/>
          <w:sz w:val="24"/>
          <w:szCs w:val="24"/>
          <w:lang w:val="en-US"/>
        </w:rPr>
      </w:pPr>
    </w:p>
    <w:p w14:paraId="4D3B4C6C" w14:textId="4A31EC00" w:rsidR="009E1558" w:rsidRPr="00591996" w:rsidRDefault="009E1558" w:rsidP="00591996">
      <w:pPr>
        <w:pStyle w:val="ListParagraph"/>
        <w:spacing w:line="240" w:lineRule="auto"/>
        <w:jc w:val="left"/>
        <w:rPr>
          <w:rFonts w:ascii="Times New Roman" w:eastAsia="Times New Roman" w:hAnsi="Times New Roman" w:cs="Times New Roman"/>
          <w:sz w:val="24"/>
          <w:szCs w:val="24"/>
          <w:lang w:val="en-US"/>
        </w:rPr>
      </w:pPr>
      <w:r w:rsidRPr="006E77D4">
        <w:rPr>
          <w:rFonts w:ascii="Times New Roman" w:eastAsia="Times New Roman" w:hAnsi="Times New Roman" w:cs="Times New Roman"/>
          <w:sz w:val="24"/>
          <w:szCs w:val="24"/>
          <w:lang w:val="en-US"/>
        </w:rPr>
        <w:t xml:space="preserve">If a cost benefits two or more projects or activities in proportions that can be determined without undue effort or cost, the cost must be allocated to the projects based on the proportional benefit. If a cost benefits two or more projects or activities in proportions that cannot be determined because of the interrelationship of the work involved, then the costs may be allocated or transferred to benefitted projects on any reasonable documented basis. Where the purchase of equipment or other capital asset is specifically authorized by the ARP/CSLFRF, the costs are assignable to the Federal award regardless of the use that may be made of the equipment or other capital asset involved when no longer needed for the purpose for which it was originally required. </w:t>
      </w:r>
    </w:p>
    <w:p w14:paraId="76EFA1C6" w14:textId="77777777" w:rsidR="009E1558" w:rsidRPr="006E77D4" w:rsidRDefault="009E1558" w:rsidP="009E1558">
      <w:pPr>
        <w:numPr>
          <w:ilvl w:val="0"/>
          <w:numId w:val="4"/>
        </w:numPr>
        <w:spacing w:line="240" w:lineRule="auto"/>
        <w:jc w:val="left"/>
        <w:rPr>
          <w:rFonts w:ascii="Times New Roman" w:eastAsia="Times New Roman" w:hAnsi="Times New Roman" w:cs="Times New Roman"/>
          <w:b/>
          <w:sz w:val="24"/>
          <w:szCs w:val="24"/>
        </w:rPr>
      </w:pPr>
      <w:r w:rsidRPr="006E77D4">
        <w:rPr>
          <w:rFonts w:ascii="Times New Roman" w:eastAsia="Times New Roman" w:hAnsi="Times New Roman" w:cs="Times New Roman"/>
          <w:b/>
          <w:sz w:val="24"/>
          <w:szCs w:val="24"/>
        </w:rPr>
        <w:t>Be authorized and not prohibited under state or local laws or regulations.</w:t>
      </w:r>
    </w:p>
    <w:p w14:paraId="621E2143" w14:textId="77777777" w:rsidR="009E1558" w:rsidRPr="006E77D4" w:rsidRDefault="009E1558" w:rsidP="009E1558">
      <w:pPr>
        <w:numPr>
          <w:ilvl w:val="0"/>
          <w:numId w:val="4"/>
        </w:numPr>
        <w:spacing w:line="240" w:lineRule="auto"/>
        <w:jc w:val="left"/>
        <w:rPr>
          <w:rFonts w:ascii="Times New Roman" w:eastAsia="Times New Roman" w:hAnsi="Times New Roman" w:cs="Times New Roman"/>
          <w:b/>
          <w:sz w:val="24"/>
          <w:szCs w:val="24"/>
        </w:rPr>
      </w:pPr>
      <w:r w:rsidRPr="006E77D4">
        <w:rPr>
          <w:rFonts w:ascii="Times New Roman" w:eastAsia="Times New Roman" w:hAnsi="Times New Roman" w:cs="Times New Roman"/>
          <w:b/>
          <w:sz w:val="24"/>
          <w:szCs w:val="24"/>
        </w:rPr>
        <w:t>Conform to any limitations or exclusions set forth in the principles, federal laws, ARP/CSLFRF award terms, and other governing regulations as to types or amounts of cost items.</w:t>
      </w:r>
    </w:p>
    <w:p w14:paraId="38EEFCC1" w14:textId="77777777" w:rsidR="009E1558" w:rsidRPr="006E77D4" w:rsidRDefault="009E1558" w:rsidP="009E1558">
      <w:pPr>
        <w:numPr>
          <w:ilvl w:val="0"/>
          <w:numId w:val="4"/>
        </w:numPr>
        <w:spacing w:line="240" w:lineRule="auto"/>
        <w:jc w:val="left"/>
        <w:rPr>
          <w:rFonts w:ascii="Times New Roman" w:eastAsia="Times New Roman" w:hAnsi="Times New Roman" w:cs="Times New Roman"/>
          <w:b/>
          <w:sz w:val="24"/>
          <w:szCs w:val="24"/>
        </w:rPr>
      </w:pPr>
      <w:r w:rsidRPr="006E77D4">
        <w:rPr>
          <w:rFonts w:ascii="Times New Roman" w:eastAsia="Times New Roman" w:hAnsi="Times New Roman" w:cs="Times New Roman"/>
          <w:b/>
          <w:sz w:val="24"/>
          <w:szCs w:val="24"/>
        </w:rPr>
        <w:t xml:space="preserve">Be consistent with policies, regulations, and procedures that apply uniformly to both the ARP/CSLFRF federal award and other activities of </w:t>
      </w:r>
      <w:r w:rsidRPr="006E77D4">
        <w:rPr>
          <w:rFonts w:ascii="Times New Roman" w:eastAsia="Times New Roman" w:hAnsi="Times New Roman" w:cs="Times New Roman"/>
          <w:b/>
          <w:sz w:val="24"/>
          <w:szCs w:val="24"/>
          <w:u w:val="single"/>
        </w:rPr>
        <w:t>[LOCAL GOVERNMENT NAME]</w:t>
      </w:r>
      <w:r w:rsidRPr="006E77D4">
        <w:rPr>
          <w:rFonts w:ascii="Times New Roman" w:eastAsia="Times New Roman" w:hAnsi="Times New Roman" w:cs="Times New Roman"/>
          <w:b/>
          <w:sz w:val="24"/>
          <w:szCs w:val="24"/>
        </w:rPr>
        <w:t xml:space="preserve">. </w:t>
      </w:r>
    </w:p>
    <w:p w14:paraId="436343CA" w14:textId="77777777" w:rsidR="009E1558" w:rsidRPr="006E77D4" w:rsidRDefault="009E1558" w:rsidP="009E1558">
      <w:pPr>
        <w:numPr>
          <w:ilvl w:val="0"/>
          <w:numId w:val="4"/>
        </w:numPr>
        <w:spacing w:line="240" w:lineRule="auto"/>
        <w:jc w:val="left"/>
        <w:rPr>
          <w:rFonts w:ascii="Times New Roman" w:hAnsi="Times New Roman" w:cs="Times New Roman"/>
          <w:b/>
          <w:sz w:val="24"/>
          <w:szCs w:val="24"/>
        </w:rPr>
      </w:pPr>
      <w:r w:rsidRPr="006E77D4">
        <w:rPr>
          <w:rFonts w:ascii="Times New Roman" w:eastAsia="Times New Roman" w:hAnsi="Times New Roman" w:cs="Times New Roman"/>
          <w:b/>
          <w:sz w:val="24"/>
          <w:szCs w:val="24"/>
        </w:rPr>
        <w:t xml:space="preserve">Be accorded consistent treatment. </w:t>
      </w:r>
      <w:r w:rsidRPr="006E77D4">
        <w:rPr>
          <w:rFonts w:ascii="Times New Roman" w:eastAsia="Times New Roman" w:hAnsi="Times New Roman" w:cs="Times New Roman"/>
          <w:sz w:val="24"/>
          <w:szCs w:val="24"/>
        </w:rPr>
        <w:t xml:space="preserve">A cost MAY NOT be assigned to a federal award as a direct cost </w:t>
      </w:r>
      <w:proofErr w:type="gramStart"/>
      <w:r w:rsidRPr="006E77D4">
        <w:rPr>
          <w:rFonts w:ascii="Times New Roman" w:eastAsia="Times New Roman" w:hAnsi="Times New Roman" w:cs="Times New Roman"/>
          <w:sz w:val="24"/>
          <w:szCs w:val="24"/>
        </w:rPr>
        <w:t>and also</w:t>
      </w:r>
      <w:proofErr w:type="gramEnd"/>
      <w:r w:rsidRPr="006E77D4">
        <w:rPr>
          <w:rFonts w:ascii="Times New Roman" w:eastAsia="Times New Roman" w:hAnsi="Times New Roman" w:cs="Times New Roman"/>
          <w:sz w:val="24"/>
          <w:szCs w:val="24"/>
        </w:rPr>
        <w:t xml:space="preserve"> be charged to a federal award as an indirect cost. And a cost must be treated consistently for both federal award and non-federal award expenditures. </w:t>
      </w:r>
    </w:p>
    <w:p w14:paraId="522C87C1" w14:textId="77777777" w:rsidR="009E1558" w:rsidRPr="006E77D4" w:rsidRDefault="009E1558" w:rsidP="009E1558">
      <w:pPr>
        <w:numPr>
          <w:ilvl w:val="0"/>
          <w:numId w:val="4"/>
        </w:numPr>
        <w:spacing w:line="240" w:lineRule="auto"/>
        <w:jc w:val="left"/>
        <w:rPr>
          <w:rFonts w:ascii="Times New Roman" w:eastAsia="Times New Roman" w:hAnsi="Times New Roman" w:cs="Times New Roman"/>
          <w:b/>
          <w:sz w:val="24"/>
          <w:szCs w:val="24"/>
        </w:rPr>
      </w:pPr>
      <w:r w:rsidRPr="006E77D4">
        <w:rPr>
          <w:rFonts w:ascii="Times New Roman" w:eastAsia="Times New Roman" w:hAnsi="Times New Roman" w:cs="Times New Roman"/>
          <w:b/>
          <w:sz w:val="24"/>
          <w:szCs w:val="24"/>
        </w:rPr>
        <w:lastRenderedPageBreak/>
        <w:t xml:space="preserve">Be determined in accordance with generally accepted accounting principles (GAAP), unless provided otherwise in the UGG. </w:t>
      </w:r>
    </w:p>
    <w:p w14:paraId="1160DC1F" w14:textId="77777777" w:rsidR="009E1558" w:rsidRPr="006E77D4" w:rsidRDefault="009E1558" w:rsidP="009E1558">
      <w:pPr>
        <w:numPr>
          <w:ilvl w:val="0"/>
          <w:numId w:val="4"/>
        </w:numPr>
        <w:spacing w:line="240" w:lineRule="auto"/>
        <w:jc w:val="left"/>
        <w:rPr>
          <w:rFonts w:ascii="Times New Roman" w:hAnsi="Times New Roman" w:cs="Times New Roman"/>
          <w:b/>
          <w:sz w:val="24"/>
          <w:szCs w:val="24"/>
        </w:rPr>
      </w:pPr>
      <w:r w:rsidRPr="006E77D4">
        <w:rPr>
          <w:rFonts w:ascii="Times New Roman" w:eastAsia="Times New Roman" w:hAnsi="Times New Roman" w:cs="Times New Roman"/>
          <w:b/>
          <w:sz w:val="24"/>
          <w:szCs w:val="24"/>
        </w:rPr>
        <w:t xml:space="preserve">Be net of all applicable credits. </w:t>
      </w:r>
      <w:r w:rsidRPr="006E77D4">
        <w:rPr>
          <w:rFonts w:ascii="Times New Roman" w:eastAsia="Times New Roman" w:hAnsi="Times New Roman" w:cs="Times New Roman"/>
          <w:sz w:val="24"/>
          <w:szCs w:val="24"/>
        </w:rPr>
        <w:t>The term “applicable credits” refers to those receipts or reduction of expenditures that operate to offset or reduce expense items allocable to the federal award. Typical examples of such transactions are purchase discounts; rebates or allowances; recoveries or indemnities on losses; and adjustments of overpayments or erroneous charges. To the extent that such credits accruing to and received by the local government related to the federal award, they shall be credited to the ARP/CSLFRF award, either as a cost reduction or a cash refund, as appropriate and consistent with the award terms. [NOTE THAT A LOCAL GOVERNMENT SHOULD ADD A REFERENCE TO ITS PROGRAM INCOME POLICY HERE, WHEN THAT POLICY IS IMPLEMENTED. AS OF DECEMBER 2021, WE ARE STILL AWAITING FINAL GUIDANCE FROM US TREASURY ON HOW TO TREAT PROGRAM INCOME.]</w:t>
      </w:r>
    </w:p>
    <w:p w14:paraId="4BE93F0B" w14:textId="77777777" w:rsidR="009E1558" w:rsidRPr="006E77D4" w:rsidRDefault="009E1558" w:rsidP="009E1558">
      <w:pPr>
        <w:numPr>
          <w:ilvl w:val="0"/>
          <w:numId w:val="4"/>
        </w:numPr>
        <w:spacing w:line="240" w:lineRule="auto"/>
        <w:jc w:val="left"/>
        <w:rPr>
          <w:rFonts w:ascii="Times New Roman" w:eastAsia="Times New Roman" w:hAnsi="Times New Roman" w:cs="Times New Roman"/>
          <w:b/>
          <w:sz w:val="24"/>
          <w:szCs w:val="24"/>
        </w:rPr>
      </w:pPr>
      <w:r w:rsidRPr="006E77D4">
        <w:rPr>
          <w:rFonts w:ascii="Times New Roman" w:eastAsia="Times New Roman" w:hAnsi="Times New Roman" w:cs="Times New Roman"/>
          <w:b/>
          <w:sz w:val="24"/>
          <w:szCs w:val="24"/>
        </w:rPr>
        <w:t>Be adequately documented.</w:t>
      </w:r>
    </w:p>
    <w:p w14:paraId="4E246229" w14:textId="2F112FA1" w:rsidR="009E1558" w:rsidRPr="006E77D4" w:rsidRDefault="009E1558" w:rsidP="009E1558">
      <w:pPr>
        <w:pStyle w:val="Heading4"/>
        <w:rPr>
          <w:rFonts w:ascii="Times New Roman" w:hAnsi="Times New Roman" w:cs="Times New Roman"/>
          <w:b/>
          <w:bCs/>
          <w:sz w:val="24"/>
          <w:szCs w:val="24"/>
        </w:rPr>
      </w:pPr>
      <w:r w:rsidRPr="006E77D4">
        <w:rPr>
          <w:rFonts w:ascii="Times New Roman" w:hAnsi="Times New Roman" w:cs="Times New Roman"/>
          <w:b/>
          <w:bCs/>
          <w:sz w:val="24"/>
          <w:szCs w:val="24"/>
        </w:rPr>
        <w:t>SELECTED ITEMS OF COST</w:t>
      </w:r>
      <w:r w:rsidR="000A367F">
        <w:rPr>
          <w:rFonts w:ascii="Times New Roman" w:hAnsi="Times New Roman" w:cs="Times New Roman"/>
          <w:b/>
          <w:bCs/>
          <w:sz w:val="24"/>
          <w:szCs w:val="24"/>
        </w:rPr>
        <w:t xml:space="preserve"> </w:t>
      </w:r>
      <w:r w:rsidR="000A367F" w:rsidRPr="000A367F">
        <w:rPr>
          <w:rFonts w:ascii="Times New Roman" w:hAnsi="Times New Roman" w:cs="Times New Roman"/>
          <w:b/>
          <w:bCs/>
          <w:color w:val="FF0000"/>
          <w:sz w:val="24"/>
          <w:szCs w:val="24"/>
        </w:rPr>
        <w:t>[</w:t>
      </w:r>
      <w:r w:rsidR="000A367F">
        <w:rPr>
          <w:rFonts w:ascii="Times New Roman" w:hAnsi="Times New Roman" w:cs="Times New Roman"/>
          <w:b/>
          <w:bCs/>
          <w:color w:val="FF0000"/>
          <w:sz w:val="24"/>
          <w:szCs w:val="24"/>
        </w:rPr>
        <w:t>Drafter’s Note:</w:t>
      </w:r>
      <w:r w:rsidR="000A367F" w:rsidRPr="000A367F">
        <w:rPr>
          <w:rFonts w:ascii="Times New Roman" w:hAnsi="Times New Roman" w:cs="Times New Roman"/>
          <w:b/>
          <w:bCs/>
          <w:color w:val="FF0000"/>
          <w:sz w:val="24"/>
          <w:szCs w:val="24"/>
        </w:rPr>
        <w:t xml:space="preserve"> This section does not apply to expenditures in the revenue replacement category.</w:t>
      </w:r>
      <w:r w:rsidR="004C0DFE">
        <w:rPr>
          <w:rFonts w:ascii="Times New Roman" w:hAnsi="Times New Roman" w:cs="Times New Roman"/>
          <w:b/>
          <w:bCs/>
          <w:color w:val="FF0000"/>
          <w:sz w:val="24"/>
          <w:szCs w:val="24"/>
        </w:rPr>
        <w:t xml:space="preserve"> </w:t>
      </w:r>
      <w:r w:rsidR="004C0DFE" w:rsidRPr="004C0DFE">
        <w:rPr>
          <w:rFonts w:ascii="Times New Roman" w:hAnsi="Times New Roman" w:cs="Times New Roman"/>
          <w:b/>
          <w:bCs/>
          <w:i/>
          <w:iCs/>
          <w:color w:val="FF0000"/>
          <w:sz w:val="24"/>
          <w:szCs w:val="24"/>
        </w:rPr>
        <w:t>See</w:t>
      </w:r>
      <w:r w:rsidR="004C0DFE">
        <w:rPr>
          <w:rFonts w:ascii="Times New Roman" w:hAnsi="Times New Roman" w:cs="Times New Roman"/>
          <w:b/>
          <w:bCs/>
          <w:color w:val="FF0000"/>
          <w:sz w:val="24"/>
          <w:szCs w:val="24"/>
        </w:rPr>
        <w:t xml:space="preserve"> </w:t>
      </w:r>
      <w:hyperlink r:id="rId11" w:history="1">
        <w:r w:rsidR="004C0DFE" w:rsidRPr="004C0DFE">
          <w:rPr>
            <w:rStyle w:val="Hyperlink"/>
            <w:rFonts w:ascii="Times New Roman" w:hAnsi="Times New Roman" w:cs="Times New Roman"/>
            <w:b/>
            <w:bCs/>
            <w:sz w:val="24"/>
            <w:szCs w:val="24"/>
          </w:rPr>
          <w:t>US Treasury FAQ 13.15</w:t>
        </w:r>
      </w:hyperlink>
      <w:r w:rsidR="004C0DFE">
        <w:rPr>
          <w:rFonts w:ascii="Times New Roman" w:hAnsi="Times New Roman" w:cs="Times New Roman"/>
          <w:b/>
          <w:bCs/>
          <w:color w:val="FF0000"/>
          <w:sz w:val="24"/>
          <w:szCs w:val="24"/>
        </w:rPr>
        <w:t>.</w:t>
      </w:r>
      <w:r w:rsidR="000A367F" w:rsidRPr="000A367F">
        <w:rPr>
          <w:rFonts w:ascii="Times New Roman" w:hAnsi="Times New Roman" w:cs="Times New Roman"/>
          <w:b/>
          <w:bCs/>
          <w:color w:val="FF0000"/>
          <w:sz w:val="24"/>
          <w:szCs w:val="24"/>
        </w:rPr>
        <w:t>]</w:t>
      </w:r>
    </w:p>
    <w:p w14:paraId="64D69E93" w14:textId="77777777" w:rsidR="009E1558" w:rsidRPr="006E77D4" w:rsidRDefault="009E1558" w:rsidP="009E1558">
      <w:p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 xml:space="preserve">The UGG examines the allowability of fifty-five (55) specific cost items (commonly referred to as Selected Items of Cost) at 2 CFR </w:t>
      </w:r>
      <w:r w:rsidRPr="006E77D4">
        <w:rPr>
          <w:rFonts w:ascii="Times New Roman" w:eastAsia="Times" w:hAnsi="Times New Roman" w:cs="Times New Roman"/>
          <w:sz w:val="24"/>
          <w:szCs w:val="24"/>
        </w:rPr>
        <w:t xml:space="preserve">§ </w:t>
      </w:r>
      <w:r w:rsidRPr="006E77D4">
        <w:rPr>
          <w:rFonts w:ascii="Times New Roman" w:eastAsia="Times New Roman" w:hAnsi="Times New Roman" w:cs="Times New Roman"/>
          <w:sz w:val="24"/>
          <w:szCs w:val="24"/>
        </w:rPr>
        <w:t xml:space="preserve">200.420-.475. </w:t>
      </w:r>
    </w:p>
    <w:p w14:paraId="188E6BE2" w14:textId="77777777" w:rsidR="009E1558" w:rsidRPr="006E77D4" w:rsidRDefault="009E1558" w:rsidP="009E1558">
      <w:p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u w:val="single"/>
        </w:rPr>
        <w:t>[DEPARTMENT OR POSITION(S)]</w:t>
      </w:r>
      <w:r w:rsidRPr="006E77D4">
        <w:rPr>
          <w:rFonts w:ascii="Times New Roman" w:eastAsia="Times New Roman" w:hAnsi="Times New Roman" w:cs="Times New Roman"/>
          <w:sz w:val="24"/>
          <w:szCs w:val="24"/>
        </w:rPr>
        <w:t xml:space="preserve"> responsible for determining cost allowability must be familiar with the Selected Items of Cost. The </w:t>
      </w:r>
      <w:r w:rsidRPr="006E77D4">
        <w:rPr>
          <w:rFonts w:ascii="Times New Roman" w:eastAsia="Times New Roman" w:hAnsi="Times New Roman" w:cs="Times New Roman"/>
          <w:sz w:val="24"/>
          <w:szCs w:val="24"/>
          <w:u w:val="single"/>
        </w:rPr>
        <w:t>[LOCAL GOVERNMENT NAME]</w:t>
      </w:r>
      <w:r w:rsidRPr="006E77D4">
        <w:rPr>
          <w:rFonts w:ascii="Times New Roman" w:eastAsia="Times New Roman" w:hAnsi="Times New Roman" w:cs="Times New Roman"/>
          <w:sz w:val="24"/>
          <w:szCs w:val="24"/>
        </w:rPr>
        <w:t xml:space="preserve"> must follow the applicable regulations when charging these specific expenditures to the ARP/CSLFRF grant. </w:t>
      </w:r>
      <w:r w:rsidRPr="006E77D4">
        <w:rPr>
          <w:rFonts w:ascii="Times New Roman" w:eastAsia="Times New Roman" w:hAnsi="Times New Roman" w:cs="Times New Roman"/>
          <w:sz w:val="24"/>
          <w:szCs w:val="24"/>
          <w:u w:val="single"/>
        </w:rPr>
        <w:t xml:space="preserve">[DEPARTMENT OR POSITION(S)] </w:t>
      </w:r>
      <w:r w:rsidRPr="006E77D4">
        <w:rPr>
          <w:rFonts w:ascii="Times New Roman" w:eastAsia="Times New Roman" w:hAnsi="Times New Roman" w:cs="Times New Roman"/>
          <w:sz w:val="24"/>
          <w:szCs w:val="24"/>
        </w:rPr>
        <w:t>personnel will check costs against the selected items of cost requirements to ensure the cost is allowable and that all process and documentation requirements are followed. In addition, State laws, [</w:t>
      </w:r>
      <w:r w:rsidRPr="006E77D4">
        <w:rPr>
          <w:rFonts w:ascii="Times New Roman" w:eastAsia="Times New Roman" w:hAnsi="Times New Roman" w:cs="Times New Roman"/>
          <w:sz w:val="24"/>
          <w:szCs w:val="24"/>
          <w:u w:val="single"/>
        </w:rPr>
        <w:t>LOCAL GOVERNMENT NAME] regulations</w:t>
      </w:r>
      <w:r w:rsidRPr="006E77D4">
        <w:rPr>
          <w:rFonts w:ascii="Times New Roman" w:eastAsia="Times New Roman" w:hAnsi="Times New Roman" w:cs="Times New Roman"/>
          <w:sz w:val="24"/>
          <w:szCs w:val="24"/>
        </w:rPr>
        <w:t xml:space="preserve">, and program-specific rules may deem a cost as unallowable, and [DEPARTMENT OR POSITION(S)] personnel must follow those non-federal rules as well. </w:t>
      </w:r>
    </w:p>
    <w:p w14:paraId="2ACD87F5" w14:textId="77777777" w:rsidR="009E1558" w:rsidRPr="006E77D4" w:rsidRDefault="009E1558" w:rsidP="009E1558">
      <w:p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Exhibit A identifies and summarizes the Selected Items of Cost.</w:t>
      </w:r>
    </w:p>
    <w:p w14:paraId="29E58717" w14:textId="77777777" w:rsidR="009E1558" w:rsidRPr="006E77D4" w:rsidRDefault="009E1558" w:rsidP="009E1558">
      <w:pPr>
        <w:pStyle w:val="Heading4"/>
        <w:rPr>
          <w:rFonts w:ascii="Times New Roman" w:hAnsi="Times New Roman" w:cs="Times New Roman"/>
          <w:b/>
          <w:bCs/>
          <w:sz w:val="24"/>
          <w:szCs w:val="24"/>
        </w:rPr>
      </w:pPr>
      <w:r w:rsidRPr="006E77D4">
        <w:rPr>
          <w:rFonts w:ascii="Times New Roman" w:hAnsi="Times New Roman" w:cs="Times New Roman"/>
          <w:b/>
          <w:bCs/>
          <w:sz w:val="24"/>
          <w:szCs w:val="24"/>
        </w:rPr>
        <w:t>DIRECT AND INDIRECT COSTS</w:t>
      </w:r>
    </w:p>
    <w:p w14:paraId="657C42F6" w14:textId="77777777" w:rsidR="009E1558" w:rsidRPr="006E77D4" w:rsidRDefault="009E1558" w:rsidP="009E1558">
      <w:p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 xml:space="preserve">Allowable and allocable costs must be appropriately classified as direct or indirect charges. It is essential that each item of cost be treated consistently in like circumstances either as a direct or an indirect cost. </w:t>
      </w:r>
    </w:p>
    <w:p w14:paraId="6B21CDC0" w14:textId="77777777" w:rsidR="009E1558" w:rsidRPr="006E77D4" w:rsidRDefault="009E1558" w:rsidP="009E1558">
      <w:p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i/>
          <w:iCs/>
          <w:sz w:val="24"/>
          <w:szCs w:val="24"/>
        </w:rPr>
        <w:t>Direct costs</w:t>
      </w:r>
      <w:r w:rsidRPr="006E77D4">
        <w:rPr>
          <w:rFonts w:ascii="Times New Roman" w:eastAsia="Times New Roman" w:hAnsi="Times New Roman" w:cs="Times New Roman"/>
          <w:sz w:val="24"/>
          <w:szCs w:val="24"/>
        </w:rPr>
        <w:t xml:space="preserve"> are expenses that are specifically associated with a particular ARP/CSLFRF-eligible project and that can be directly assigned to such activities relatively easily with a high degree of accuracy. Common examples of direct costs include salary and fringe benefits of personnel directly involved in undertaking an eligible project, equipment and supplies for the project, subcontracted service provider, or other materials consumed or expended in the performance of a grant-eligible project.  </w:t>
      </w:r>
    </w:p>
    <w:p w14:paraId="0ADF3EA8" w14:textId="77777777" w:rsidR="009E1558" w:rsidRPr="006E77D4" w:rsidRDefault="009E1558" w:rsidP="009E1558">
      <w:p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i/>
          <w:iCs/>
          <w:sz w:val="24"/>
          <w:szCs w:val="24"/>
        </w:rPr>
        <w:t>Indirect costs</w:t>
      </w:r>
      <w:r w:rsidRPr="006E77D4">
        <w:rPr>
          <w:rFonts w:ascii="Times New Roman" w:eastAsia="Times New Roman" w:hAnsi="Times New Roman" w:cs="Times New Roman"/>
          <w:sz w:val="24"/>
          <w:szCs w:val="24"/>
        </w:rPr>
        <w:t xml:space="preserve"> are (1) costs incurred for a common or joint purpose benefitting more than one ARP/CSLFRF-eligible project, and (2) not readily assignable to the project specifically benefited, without effort disproportionate to the results achieved. They are expenses that benefit more than one project or even more than one federal grant. Common examples of indirect costs </w:t>
      </w:r>
      <w:r w:rsidRPr="006E77D4">
        <w:rPr>
          <w:rFonts w:ascii="Times New Roman" w:eastAsia="Times New Roman" w:hAnsi="Times New Roman" w:cs="Times New Roman"/>
          <w:sz w:val="24"/>
          <w:szCs w:val="24"/>
        </w:rPr>
        <w:lastRenderedPageBreak/>
        <w:t xml:space="preserve">include utilities, local telephone charges, shared office supplies, administrative or secretarial salaries. </w:t>
      </w:r>
    </w:p>
    <w:p w14:paraId="317368E8" w14:textId="77777777" w:rsidR="009E1558" w:rsidRPr="006E77D4" w:rsidRDefault="009E1558" w:rsidP="009E1558">
      <w:pPr>
        <w:spacing w:line="240" w:lineRule="auto"/>
        <w:jc w:val="left"/>
        <w:rPr>
          <w:rFonts w:ascii="Times New Roman" w:eastAsia="Times New Roman" w:hAnsi="Times New Roman" w:cs="Times New Roman"/>
          <w:b/>
          <w:bCs/>
          <w:i/>
          <w:iCs/>
          <w:sz w:val="24"/>
          <w:szCs w:val="24"/>
          <w:lang w:val="en-US"/>
        </w:rPr>
      </w:pPr>
      <w:r w:rsidRPr="006E77D4">
        <w:rPr>
          <w:rFonts w:ascii="Times New Roman" w:eastAsia="Times New Roman" w:hAnsi="Times New Roman" w:cs="Times New Roman"/>
          <w:sz w:val="24"/>
          <w:szCs w:val="24"/>
        </w:rPr>
        <w:t xml:space="preserve">For indirect costs, the </w:t>
      </w:r>
      <w:r w:rsidRPr="006E77D4">
        <w:rPr>
          <w:rFonts w:ascii="Times New Roman" w:eastAsia="Times New Roman" w:hAnsi="Times New Roman" w:cs="Times New Roman"/>
          <w:sz w:val="24"/>
          <w:szCs w:val="24"/>
          <w:u w:val="single"/>
        </w:rPr>
        <w:t>[LOCAL GOVERNMENT NAME]</w:t>
      </w:r>
      <w:r w:rsidRPr="006E77D4">
        <w:rPr>
          <w:rFonts w:ascii="Times New Roman" w:eastAsia="Times New Roman" w:hAnsi="Times New Roman" w:cs="Times New Roman"/>
          <w:sz w:val="24"/>
          <w:szCs w:val="24"/>
        </w:rPr>
        <w:t xml:space="preserve"> may charge a 10 percent de minimis rate of modified total direct costs (MTDC). According to UGG </w:t>
      </w:r>
      <w:r w:rsidRPr="006E77D4">
        <w:rPr>
          <w:rFonts w:ascii="Times New Roman" w:eastAsia="Times New Roman" w:hAnsi="Times New Roman" w:cs="Times New Roman"/>
          <w:sz w:val="24"/>
          <w:szCs w:val="24"/>
          <w:lang w:val="en-US"/>
        </w:rPr>
        <w:t>Section 200.68</w:t>
      </w:r>
      <w:r w:rsidRPr="006E77D4">
        <w:rPr>
          <w:rFonts w:ascii="Times New Roman" w:eastAsia="Times New Roman" w:hAnsi="Times New Roman" w:cs="Times New Roman"/>
          <w:b/>
          <w:bCs/>
          <w:sz w:val="24"/>
          <w:szCs w:val="24"/>
          <w:lang w:val="en-US"/>
        </w:rPr>
        <w:t xml:space="preserve"> </w:t>
      </w:r>
      <w:r w:rsidRPr="006E77D4">
        <w:rPr>
          <w:rFonts w:ascii="Times New Roman" w:eastAsia="Times New Roman" w:hAnsi="Times New Roman" w:cs="Times New Roman"/>
          <w:sz w:val="24"/>
          <w:szCs w:val="24"/>
          <w:lang w:val="en-US"/>
        </w:rPr>
        <w:t xml:space="preserve">MTDC means all direct salaries and wages, applicable fringe benefits, materials and supplies, services, travel, and up to the first $25,000 of each </w:t>
      </w:r>
      <w:proofErr w:type="gramStart"/>
      <w:r w:rsidRPr="006E77D4">
        <w:rPr>
          <w:rFonts w:ascii="Times New Roman" w:eastAsia="Times New Roman" w:hAnsi="Times New Roman" w:cs="Times New Roman"/>
          <w:sz w:val="24"/>
          <w:szCs w:val="24"/>
          <w:lang w:val="en-US"/>
        </w:rPr>
        <w:t>subaward  (</w:t>
      </w:r>
      <w:proofErr w:type="gramEnd"/>
      <w:r w:rsidRPr="006E77D4">
        <w:rPr>
          <w:rFonts w:ascii="Times New Roman" w:eastAsia="Times New Roman" w:hAnsi="Times New Roman" w:cs="Times New Roman"/>
          <w:sz w:val="24"/>
          <w:szCs w:val="24"/>
          <w:lang w:val="en-US"/>
        </w:rPr>
        <w:t>regardless of the period of performance the subawards under the award). MTDC EXCLUDES equipment, capital expenditures, charges for patient care, rental costs, tuition remission, scholarships and fellowships, participant support costs and the portion of each subaward </w:t>
      </w:r>
      <w:proofErr w:type="gramStart"/>
      <w:r w:rsidRPr="006E77D4">
        <w:rPr>
          <w:rFonts w:ascii="Times New Roman" w:eastAsia="Times New Roman" w:hAnsi="Times New Roman" w:cs="Times New Roman"/>
          <w:sz w:val="24"/>
          <w:szCs w:val="24"/>
          <w:lang w:val="en-US"/>
        </w:rPr>
        <w:t>in excess of</w:t>
      </w:r>
      <w:proofErr w:type="gramEnd"/>
      <w:r w:rsidRPr="006E77D4">
        <w:rPr>
          <w:rFonts w:ascii="Times New Roman" w:eastAsia="Times New Roman" w:hAnsi="Times New Roman" w:cs="Times New Roman"/>
          <w:sz w:val="24"/>
          <w:szCs w:val="24"/>
          <w:lang w:val="en-US"/>
        </w:rPr>
        <w:t xml:space="preserve"> $25,000.</w:t>
      </w:r>
      <w:r w:rsidRPr="006E77D4">
        <w:rPr>
          <w:rFonts w:ascii="Times New Roman" w:eastAsia="Times New Roman" w:hAnsi="Times New Roman" w:cs="Times New Roman"/>
          <w:i/>
          <w:iCs/>
          <w:sz w:val="24"/>
          <w:szCs w:val="24"/>
          <w:lang w:val="en-US"/>
        </w:rPr>
        <w:t xml:space="preserve"> </w:t>
      </w:r>
    </w:p>
    <w:p w14:paraId="338C56C3" w14:textId="14881A96" w:rsidR="009E1558" w:rsidRPr="006E77D4" w:rsidRDefault="009E1558" w:rsidP="009E1558">
      <w:pPr>
        <w:spacing w:after="0" w:line="240" w:lineRule="auto"/>
        <w:rPr>
          <w:rFonts w:ascii="Times New Roman" w:eastAsia="Times New Roman" w:hAnsi="Times New Roman" w:cs="Times New Roman"/>
          <w:color w:val="FF0000"/>
          <w:sz w:val="24"/>
          <w:szCs w:val="24"/>
        </w:rPr>
      </w:pPr>
      <w:r w:rsidRPr="006E77D4">
        <w:rPr>
          <w:rFonts w:ascii="Times New Roman" w:eastAsia="Times New Roman" w:hAnsi="Times New Roman" w:cs="Times New Roman"/>
          <w:color w:val="FF0000"/>
          <w:sz w:val="24"/>
          <w:szCs w:val="24"/>
        </w:rPr>
        <w:t>[</w:t>
      </w:r>
      <w:r w:rsidR="00FC733F">
        <w:rPr>
          <w:rFonts w:ascii="Times New Roman" w:eastAsia="Times New Roman" w:hAnsi="Times New Roman" w:cs="Times New Roman"/>
          <w:color w:val="FF0000"/>
          <w:sz w:val="24"/>
          <w:szCs w:val="24"/>
        </w:rPr>
        <w:t xml:space="preserve">Drafter’s </w:t>
      </w:r>
      <w:r w:rsidRPr="006E77D4">
        <w:rPr>
          <w:rFonts w:ascii="Times New Roman" w:eastAsia="Times New Roman" w:hAnsi="Times New Roman" w:cs="Times New Roman"/>
          <w:color w:val="FF0000"/>
          <w:sz w:val="24"/>
          <w:szCs w:val="24"/>
        </w:rPr>
        <w:t>Note</w:t>
      </w:r>
      <w:r w:rsidR="00FC733F">
        <w:rPr>
          <w:rFonts w:ascii="Times New Roman" w:eastAsia="Times New Roman" w:hAnsi="Times New Roman" w:cs="Times New Roman"/>
          <w:color w:val="FF0000"/>
          <w:sz w:val="24"/>
          <w:szCs w:val="24"/>
        </w:rPr>
        <w:t>:</w:t>
      </w:r>
      <w:r w:rsidRPr="006E77D4">
        <w:rPr>
          <w:rFonts w:ascii="Times New Roman" w:eastAsia="Times New Roman" w:hAnsi="Times New Roman" w:cs="Times New Roman"/>
          <w:color w:val="FF0000"/>
          <w:sz w:val="24"/>
          <w:szCs w:val="24"/>
        </w:rPr>
        <w:t xml:space="preserve"> </w:t>
      </w:r>
      <w:r w:rsidR="00FC733F">
        <w:rPr>
          <w:rFonts w:ascii="Times New Roman" w:eastAsia="Times New Roman" w:hAnsi="Times New Roman" w:cs="Times New Roman"/>
          <w:color w:val="FF0000"/>
          <w:sz w:val="24"/>
          <w:szCs w:val="24"/>
        </w:rPr>
        <w:t>Some</w:t>
      </w:r>
      <w:r w:rsidRPr="006E77D4">
        <w:rPr>
          <w:rFonts w:ascii="Times New Roman" w:eastAsia="Times New Roman" w:hAnsi="Times New Roman" w:cs="Times New Roman"/>
          <w:color w:val="FF0000"/>
          <w:sz w:val="24"/>
          <w:szCs w:val="24"/>
        </w:rPr>
        <w:t xml:space="preserve"> local governments </w:t>
      </w:r>
      <w:r w:rsidRPr="006E77D4">
        <w:rPr>
          <w:rFonts w:ascii="Times New Roman" w:eastAsia="Times New Roman" w:hAnsi="Times New Roman" w:cs="Times New Roman"/>
          <w:color w:val="FF0000"/>
          <w:sz w:val="24"/>
          <w:szCs w:val="24"/>
          <w:lang w:val="en-US"/>
        </w:rPr>
        <w:t xml:space="preserve">have an existing Negotiated Indirect Costs Rate Agreement (NICRA) established with a Federal cognizant agency responsible for reviewing, negotiating, and approving cost allocation plans or indirect cost proposals. If a local government has a </w:t>
      </w:r>
      <w:proofErr w:type="gramStart"/>
      <w:r w:rsidRPr="006E77D4">
        <w:rPr>
          <w:rFonts w:ascii="Times New Roman" w:eastAsia="Times New Roman" w:hAnsi="Times New Roman" w:cs="Times New Roman"/>
          <w:color w:val="FF0000"/>
          <w:sz w:val="24"/>
          <w:szCs w:val="24"/>
          <w:lang w:val="en-US"/>
        </w:rPr>
        <w:t>NICRA</w:t>
      </w:r>
      <w:proofErr w:type="gramEnd"/>
      <w:r w:rsidRPr="006E77D4">
        <w:rPr>
          <w:rFonts w:ascii="Times New Roman" w:eastAsia="Times New Roman" w:hAnsi="Times New Roman" w:cs="Times New Roman"/>
          <w:color w:val="FF0000"/>
          <w:sz w:val="24"/>
          <w:szCs w:val="24"/>
          <w:lang w:val="en-US"/>
        </w:rPr>
        <w:t xml:space="preserve"> it may, but is not required to, use the NICRA rate to calculate indirect costs for its ARP/CSLFRF award. This section should be amended to reflect use of the NICRA, if applicable.]</w:t>
      </w:r>
    </w:p>
    <w:p w14:paraId="29E93F72" w14:textId="0BE20CA3" w:rsidR="009E1558" w:rsidRPr="006E77D4" w:rsidRDefault="009E1558" w:rsidP="009E1558">
      <w:pPr>
        <w:pStyle w:val="Heading4"/>
        <w:rPr>
          <w:rFonts w:ascii="Times New Roman" w:hAnsi="Times New Roman" w:cs="Times New Roman"/>
          <w:b/>
          <w:bCs/>
          <w:sz w:val="24"/>
          <w:szCs w:val="24"/>
        </w:rPr>
      </w:pPr>
      <w:r w:rsidRPr="006E77D4">
        <w:rPr>
          <w:rFonts w:ascii="Times New Roman" w:hAnsi="Times New Roman" w:cs="Times New Roman"/>
          <w:b/>
          <w:bCs/>
          <w:sz w:val="24"/>
          <w:szCs w:val="24"/>
        </w:rPr>
        <w:t>SPECIAL PROVISIONS FOR STATE AND LOCAL GOVERNMENTS</w:t>
      </w:r>
      <w:r w:rsidR="00FC733F">
        <w:rPr>
          <w:rFonts w:ascii="Times New Roman" w:hAnsi="Times New Roman" w:cs="Times New Roman"/>
          <w:b/>
          <w:bCs/>
          <w:sz w:val="24"/>
          <w:szCs w:val="24"/>
        </w:rPr>
        <w:t xml:space="preserve"> </w:t>
      </w:r>
      <w:r w:rsidR="00FC733F" w:rsidRPr="00FF20A0">
        <w:rPr>
          <w:rFonts w:ascii="Times New Roman" w:hAnsi="Times New Roman" w:cs="Times New Roman"/>
          <w:b/>
          <w:bCs/>
          <w:color w:val="FF0000"/>
          <w:sz w:val="24"/>
          <w:szCs w:val="24"/>
        </w:rPr>
        <w:t>[</w:t>
      </w:r>
      <w:r w:rsidR="00FF20A0" w:rsidRPr="00FF20A0">
        <w:rPr>
          <w:rFonts w:ascii="Times New Roman" w:hAnsi="Times New Roman" w:cs="Times New Roman"/>
          <w:b/>
          <w:bCs/>
          <w:color w:val="FF0000"/>
          <w:sz w:val="24"/>
          <w:szCs w:val="24"/>
        </w:rPr>
        <w:t>Drafter’s Note: 2 CFR 200.444 does not apply to expenditures in the revenue replacement category or expenditures in other categories for administrative and other general government expenses that are specifically allowed in the ARP/CSLFRF Final Rule.]</w:t>
      </w:r>
    </w:p>
    <w:p w14:paraId="7433D2A0" w14:textId="77777777" w:rsidR="009E1558" w:rsidRPr="006E77D4" w:rsidRDefault="009E1558" w:rsidP="009E1558">
      <w:pPr>
        <w:rPr>
          <w:rFonts w:ascii="Times New Roman" w:hAnsi="Times New Roman" w:cs="Times New Roman"/>
          <w:sz w:val="24"/>
          <w:szCs w:val="24"/>
        </w:rPr>
      </w:pPr>
      <w:r w:rsidRPr="006E77D4">
        <w:rPr>
          <w:rFonts w:ascii="Times New Roman" w:hAnsi="Times New Roman" w:cs="Times New Roman"/>
          <w:sz w:val="24"/>
          <w:szCs w:val="24"/>
        </w:rPr>
        <w:t>There are some special provisions of the UG that apply only to states, local governments, and Indian Tribes.</w:t>
      </w:r>
    </w:p>
    <w:p w14:paraId="032438A4" w14:textId="77777777" w:rsidR="009E1558" w:rsidRPr="006E77D4" w:rsidRDefault="009E1558" w:rsidP="009E1558">
      <w:pPr>
        <w:ind w:left="720"/>
        <w:rPr>
          <w:rFonts w:ascii="Times New Roman" w:hAnsi="Times New Roman" w:cs="Times New Roman"/>
          <w:b/>
          <w:bCs/>
          <w:color w:val="333333"/>
          <w:sz w:val="24"/>
          <w:szCs w:val="24"/>
        </w:rPr>
      </w:pPr>
      <w:r w:rsidRPr="006E77D4">
        <w:rPr>
          <w:rFonts w:ascii="Times New Roman" w:hAnsi="Times New Roman" w:cs="Times New Roman"/>
          <w:b/>
          <w:bCs/>
          <w:color w:val="333333"/>
          <w:sz w:val="24"/>
          <w:szCs w:val="24"/>
        </w:rPr>
        <w:t>§ 200.444 General costs of government.</w:t>
      </w:r>
    </w:p>
    <w:p w14:paraId="1F9DB071" w14:textId="77777777" w:rsidR="009E1558" w:rsidRPr="006E77D4" w:rsidRDefault="009E1558" w:rsidP="009E1558">
      <w:pPr>
        <w:pStyle w:val="psection-1"/>
        <w:spacing w:before="150" w:beforeAutospacing="0" w:after="150" w:afterAutospacing="0"/>
        <w:ind w:left="720"/>
        <w:rPr>
          <w:color w:val="333333"/>
        </w:rPr>
      </w:pPr>
      <w:r w:rsidRPr="006E77D4">
        <w:rPr>
          <w:rStyle w:val="enumxml"/>
          <w:b/>
          <w:bCs/>
          <w:color w:val="333333"/>
        </w:rPr>
        <w:t>(a)</w:t>
      </w:r>
      <w:r w:rsidRPr="006E77D4">
        <w:rPr>
          <w:rStyle w:val="apple-converted-space"/>
          <w:rFonts w:eastAsiaTheme="minorEastAsia"/>
          <w:color w:val="333333"/>
        </w:rPr>
        <w:t> </w:t>
      </w:r>
      <w:r w:rsidRPr="006E77D4">
        <w:rPr>
          <w:color w:val="333333"/>
        </w:rPr>
        <w:t>For states, local governments, and Indian Tribes, the general costs of government are unallowable (except as provided in</w:t>
      </w:r>
      <w:r w:rsidRPr="006E77D4">
        <w:rPr>
          <w:rStyle w:val="apple-converted-space"/>
          <w:rFonts w:eastAsiaTheme="minorEastAsia"/>
          <w:color w:val="333333"/>
        </w:rPr>
        <w:t> </w:t>
      </w:r>
      <w:hyperlink r:id="rId12" w:history="1">
        <w:r w:rsidRPr="006E77D4">
          <w:rPr>
            <w:rStyle w:val="Hyperlink"/>
            <w:color w:val="0068AC"/>
          </w:rPr>
          <w:t>§ 200.475</w:t>
        </w:r>
      </w:hyperlink>
      <w:r w:rsidRPr="006E77D4">
        <w:rPr>
          <w:color w:val="333333"/>
        </w:rPr>
        <w:t>). Unallowable costs include:</w:t>
      </w:r>
    </w:p>
    <w:p w14:paraId="7F868FC1" w14:textId="77777777" w:rsidR="009E1558" w:rsidRPr="006E77D4" w:rsidRDefault="009E1558" w:rsidP="009E1558">
      <w:pPr>
        <w:pStyle w:val="psection-2"/>
        <w:spacing w:before="0" w:beforeAutospacing="0" w:after="150" w:afterAutospacing="0"/>
        <w:ind w:left="960"/>
        <w:rPr>
          <w:color w:val="333333"/>
        </w:rPr>
      </w:pPr>
      <w:r w:rsidRPr="006E77D4">
        <w:rPr>
          <w:rStyle w:val="enumxml"/>
          <w:b/>
          <w:bCs/>
          <w:color w:val="333333"/>
        </w:rPr>
        <w:t>(1)</w:t>
      </w:r>
      <w:r w:rsidRPr="006E77D4">
        <w:rPr>
          <w:rStyle w:val="apple-converted-space"/>
          <w:rFonts w:eastAsiaTheme="minorEastAsia"/>
          <w:color w:val="333333"/>
        </w:rPr>
        <w:t> </w:t>
      </w:r>
      <w:r w:rsidRPr="006E77D4">
        <w:rPr>
          <w:color w:val="333333"/>
        </w:rPr>
        <w:t>Salaries and expenses of the Office of the Governor of a</w:t>
      </w:r>
      <w:r w:rsidRPr="006E77D4">
        <w:rPr>
          <w:rStyle w:val="apple-converted-space"/>
          <w:rFonts w:eastAsiaTheme="minorEastAsia"/>
          <w:color w:val="333333"/>
        </w:rPr>
        <w:t> </w:t>
      </w:r>
      <w:hyperlink r:id="rId13" w:history="1">
        <w:r w:rsidRPr="006E77D4">
          <w:rPr>
            <w:rStyle w:val="Hyperlink"/>
            <w:color w:val="0068AC"/>
          </w:rPr>
          <w:t>state</w:t>
        </w:r>
      </w:hyperlink>
      <w:r w:rsidRPr="006E77D4">
        <w:rPr>
          <w:rStyle w:val="apple-converted-space"/>
          <w:rFonts w:eastAsiaTheme="minorEastAsia"/>
          <w:color w:val="333333"/>
        </w:rPr>
        <w:t> </w:t>
      </w:r>
      <w:r w:rsidRPr="006E77D4">
        <w:rPr>
          <w:color w:val="333333"/>
        </w:rPr>
        <w:t>or the chief executive of a</w:t>
      </w:r>
      <w:r w:rsidRPr="006E77D4">
        <w:rPr>
          <w:rStyle w:val="apple-converted-space"/>
          <w:rFonts w:eastAsiaTheme="minorEastAsia"/>
          <w:color w:val="333333"/>
        </w:rPr>
        <w:t> </w:t>
      </w:r>
      <w:hyperlink r:id="rId14" w:history="1">
        <w:r w:rsidRPr="006E77D4">
          <w:rPr>
            <w:rStyle w:val="Hyperlink"/>
            <w:color w:val="0068AC"/>
          </w:rPr>
          <w:t>local government</w:t>
        </w:r>
      </w:hyperlink>
      <w:r w:rsidRPr="006E77D4">
        <w:rPr>
          <w:rStyle w:val="apple-converted-space"/>
          <w:rFonts w:eastAsiaTheme="minorEastAsia"/>
          <w:color w:val="333333"/>
        </w:rPr>
        <w:t> </w:t>
      </w:r>
      <w:r w:rsidRPr="006E77D4">
        <w:rPr>
          <w:color w:val="333333"/>
        </w:rPr>
        <w:t>or the chief executive of an</w:t>
      </w:r>
      <w:r w:rsidRPr="006E77D4">
        <w:rPr>
          <w:rStyle w:val="apple-converted-space"/>
          <w:rFonts w:eastAsiaTheme="minorEastAsia"/>
          <w:color w:val="333333"/>
        </w:rPr>
        <w:t>  </w:t>
      </w:r>
      <w:hyperlink r:id="rId15" w:history="1">
        <w:r w:rsidRPr="006E77D4">
          <w:rPr>
            <w:rStyle w:val="Hyperlink"/>
            <w:color w:val="0068AC"/>
          </w:rPr>
          <w:t>Indian tribe</w:t>
        </w:r>
      </w:hyperlink>
      <w:r w:rsidRPr="006E77D4">
        <w:rPr>
          <w:color w:val="333333"/>
        </w:rPr>
        <w:t>;</w:t>
      </w:r>
    </w:p>
    <w:p w14:paraId="6845D280" w14:textId="77777777" w:rsidR="009E1558" w:rsidRPr="006E77D4" w:rsidRDefault="009E1558" w:rsidP="009E1558">
      <w:pPr>
        <w:pStyle w:val="psection-2"/>
        <w:spacing w:before="0" w:beforeAutospacing="0" w:after="150" w:afterAutospacing="0"/>
        <w:ind w:left="960"/>
        <w:rPr>
          <w:color w:val="333333"/>
        </w:rPr>
      </w:pPr>
      <w:r w:rsidRPr="006E77D4">
        <w:rPr>
          <w:rStyle w:val="enumxml"/>
          <w:b/>
          <w:bCs/>
          <w:color w:val="333333"/>
        </w:rPr>
        <w:t>(2)</w:t>
      </w:r>
      <w:r w:rsidRPr="006E77D4">
        <w:rPr>
          <w:rStyle w:val="apple-converted-space"/>
          <w:rFonts w:eastAsiaTheme="minorEastAsia"/>
          <w:color w:val="333333"/>
        </w:rPr>
        <w:t> </w:t>
      </w:r>
      <w:r w:rsidRPr="006E77D4">
        <w:rPr>
          <w:color w:val="333333"/>
        </w:rPr>
        <w:t>Salaries and other expenses of a</w:t>
      </w:r>
      <w:r w:rsidRPr="006E77D4">
        <w:rPr>
          <w:rStyle w:val="apple-converted-space"/>
          <w:rFonts w:eastAsiaTheme="minorEastAsia"/>
          <w:color w:val="333333"/>
        </w:rPr>
        <w:t> </w:t>
      </w:r>
      <w:hyperlink r:id="rId16" w:history="1">
        <w:r w:rsidRPr="006E77D4">
          <w:rPr>
            <w:rStyle w:val="Hyperlink"/>
            <w:color w:val="0068AC"/>
          </w:rPr>
          <w:t>state</w:t>
        </w:r>
      </w:hyperlink>
      <w:r w:rsidRPr="006E77D4">
        <w:rPr>
          <w:rStyle w:val="apple-converted-space"/>
          <w:rFonts w:eastAsiaTheme="minorEastAsia"/>
          <w:color w:val="333333"/>
        </w:rPr>
        <w:t> </w:t>
      </w:r>
      <w:r w:rsidRPr="006E77D4">
        <w:rPr>
          <w:color w:val="333333"/>
        </w:rPr>
        <w:t>legislature, tribal council, or similar local governmental body, such as a county supervisor, city council, school board, etc., whether incurred for purposes of legislation or executive direction;</w:t>
      </w:r>
    </w:p>
    <w:p w14:paraId="59A96E36" w14:textId="77777777" w:rsidR="009E1558" w:rsidRPr="006E77D4" w:rsidRDefault="009E1558" w:rsidP="009E1558">
      <w:pPr>
        <w:pStyle w:val="psection-2"/>
        <w:spacing w:before="0" w:beforeAutospacing="0" w:after="150" w:afterAutospacing="0"/>
        <w:ind w:left="960"/>
        <w:rPr>
          <w:color w:val="333333"/>
        </w:rPr>
      </w:pPr>
      <w:r w:rsidRPr="006E77D4">
        <w:rPr>
          <w:rStyle w:val="enumxml"/>
          <w:b/>
          <w:bCs/>
          <w:color w:val="333333"/>
        </w:rPr>
        <w:t>(3)</w:t>
      </w:r>
      <w:r w:rsidRPr="006E77D4">
        <w:rPr>
          <w:rStyle w:val="apple-converted-space"/>
          <w:rFonts w:eastAsiaTheme="minorEastAsia"/>
          <w:color w:val="333333"/>
        </w:rPr>
        <w:t> </w:t>
      </w:r>
      <w:r w:rsidRPr="006E77D4">
        <w:rPr>
          <w:color w:val="333333"/>
        </w:rPr>
        <w:t xml:space="preserve">Costs of the judicial branch of a </w:t>
      </w:r>
      <w:proofErr w:type="gramStart"/>
      <w:r w:rsidRPr="006E77D4">
        <w:rPr>
          <w:color w:val="333333"/>
        </w:rPr>
        <w:t>government;</w:t>
      </w:r>
      <w:proofErr w:type="gramEnd"/>
    </w:p>
    <w:p w14:paraId="53F5F52B" w14:textId="77777777" w:rsidR="009E1558" w:rsidRPr="006E77D4" w:rsidRDefault="009E1558" w:rsidP="009E1558">
      <w:pPr>
        <w:pStyle w:val="psection-2"/>
        <w:spacing w:before="0" w:beforeAutospacing="0" w:after="150" w:afterAutospacing="0"/>
        <w:ind w:left="960"/>
        <w:rPr>
          <w:color w:val="333333"/>
        </w:rPr>
      </w:pPr>
      <w:r w:rsidRPr="006E77D4">
        <w:rPr>
          <w:rStyle w:val="enumxml"/>
          <w:b/>
          <w:bCs/>
          <w:color w:val="333333"/>
        </w:rPr>
        <w:t>(4)</w:t>
      </w:r>
      <w:r w:rsidRPr="006E77D4">
        <w:rPr>
          <w:rStyle w:val="apple-converted-space"/>
          <w:rFonts w:eastAsiaTheme="minorEastAsia"/>
          <w:color w:val="333333"/>
        </w:rPr>
        <w:t> </w:t>
      </w:r>
      <w:r w:rsidRPr="006E77D4">
        <w:rPr>
          <w:color w:val="333333"/>
        </w:rPr>
        <w:t>Costs of prosecutorial activities unless treated as a direct cost to a specific program if authorized by statute or regulation (however, this does not preclude the allowability of other legal activities of the Attorney General as described in</w:t>
      </w:r>
      <w:r w:rsidRPr="006E77D4">
        <w:rPr>
          <w:rStyle w:val="apple-converted-space"/>
          <w:rFonts w:eastAsiaTheme="minorEastAsia"/>
          <w:color w:val="333333"/>
        </w:rPr>
        <w:t> </w:t>
      </w:r>
      <w:hyperlink r:id="rId17" w:history="1">
        <w:r w:rsidRPr="006E77D4">
          <w:rPr>
            <w:rStyle w:val="Hyperlink"/>
            <w:color w:val="0068AC"/>
          </w:rPr>
          <w:t>§ 200.435</w:t>
        </w:r>
      </w:hyperlink>
      <w:r w:rsidRPr="006E77D4">
        <w:rPr>
          <w:color w:val="333333"/>
        </w:rPr>
        <w:t>); and</w:t>
      </w:r>
    </w:p>
    <w:p w14:paraId="1DCB4D83" w14:textId="77777777" w:rsidR="009E1558" w:rsidRPr="006E77D4" w:rsidRDefault="009E1558" w:rsidP="009E1558">
      <w:pPr>
        <w:pStyle w:val="psection-2"/>
        <w:spacing w:before="0" w:beforeAutospacing="0" w:after="150" w:afterAutospacing="0"/>
        <w:ind w:left="960"/>
        <w:rPr>
          <w:color w:val="333333"/>
        </w:rPr>
      </w:pPr>
      <w:r w:rsidRPr="006E77D4">
        <w:rPr>
          <w:rStyle w:val="enumxml"/>
          <w:b/>
          <w:bCs/>
          <w:color w:val="333333"/>
        </w:rPr>
        <w:t>(5)</w:t>
      </w:r>
      <w:r w:rsidRPr="006E77D4">
        <w:rPr>
          <w:rStyle w:val="apple-converted-space"/>
          <w:rFonts w:eastAsiaTheme="minorEastAsia"/>
          <w:color w:val="333333"/>
        </w:rPr>
        <w:t> </w:t>
      </w:r>
      <w:r w:rsidRPr="006E77D4">
        <w:rPr>
          <w:color w:val="333333"/>
        </w:rPr>
        <w:t xml:space="preserve">Costs of other general types of government services normally provided to the </w:t>
      </w:r>
      <w:proofErr w:type="gramStart"/>
      <w:r w:rsidRPr="006E77D4">
        <w:rPr>
          <w:color w:val="333333"/>
        </w:rPr>
        <w:t>general public</w:t>
      </w:r>
      <w:proofErr w:type="gramEnd"/>
      <w:r w:rsidRPr="006E77D4">
        <w:rPr>
          <w:color w:val="333333"/>
        </w:rPr>
        <w:t>, such as fire and police, unless provided for as a direct cost under a program statute or regulation.</w:t>
      </w:r>
    </w:p>
    <w:p w14:paraId="1B695ABB" w14:textId="77777777" w:rsidR="009E1558" w:rsidRPr="006E77D4" w:rsidRDefault="009E1558" w:rsidP="009E1558">
      <w:pPr>
        <w:pStyle w:val="psection-1"/>
        <w:spacing w:before="150" w:beforeAutospacing="0" w:after="150" w:afterAutospacing="0"/>
        <w:ind w:left="720"/>
        <w:rPr>
          <w:color w:val="333333"/>
        </w:rPr>
      </w:pPr>
      <w:r w:rsidRPr="006E77D4">
        <w:rPr>
          <w:rStyle w:val="enumxml"/>
          <w:b/>
          <w:bCs/>
          <w:color w:val="333333"/>
        </w:rPr>
        <w:t>(b)</w:t>
      </w:r>
      <w:r w:rsidRPr="006E77D4">
        <w:rPr>
          <w:rStyle w:val="apple-converted-space"/>
          <w:rFonts w:eastAsiaTheme="minorEastAsia"/>
          <w:color w:val="333333"/>
        </w:rPr>
        <w:t> </w:t>
      </w:r>
      <w:r w:rsidRPr="006E77D4">
        <w:rPr>
          <w:color w:val="333333"/>
        </w:rPr>
        <w:t>For</w:t>
      </w:r>
      <w:r w:rsidRPr="006E77D4">
        <w:rPr>
          <w:rStyle w:val="apple-converted-space"/>
          <w:rFonts w:eastAsiaTheme="minorEastAsia"/>
          <w:color w:val="333333"/>
        </w:rPr>
        <w:t> </w:t>
      </w:r>
      <w:hyperlink r:id="rId18" w:history="1">
        <w:r w:rsidRPr="006E77D4">
          <w:rPr>
            <w:rStyle w:val="Hyperlink"/>
            <w:color w:val="0068AC"/>
          </w:rPr>
          <w:t>Indian tribes</w:t>
        </w:r>
      </w:hyperlink>
      <w:r w:rsidRPr="006E77D4">
        <w:rPr>
          <w:rStyle w:val="apple-converted-space"/>
          <w:rFonts w:eastAsiaTheme="minorEastAsia"/>
          <w:color w:val="333333"/>
        </w:rPr>
        <w:t> </w:t>
      </w:r>
      <w:r w:rsidRPr="006E77D4">
        <w:rPr>
          <w:color w:val="333333"/>
        </w:rPr>
        <w:t>and Councils of Governments (COGs) (see definition for</w:t>
      </w:r>
      <w:r w:rsidRPr="006E77D4">
        <w:rPr>
          <w:rStyle w:val="apple-converted-space"/>
          <w:rFonts w:eastAsiaTheme="minorEastAsia"/>
          <w:color w:val="333333"/>
        </w:rPr>
        <w:t> </w:t>
      </w:r>
      <w:r w:rsidRPr="006E77D4">
        <w:rPr>
          <w:rStyle w:val="et03"/>
          <w:i/>
          <w:iCs/>
          <w:color w:val="333333"/>
        </w:rPr>
        <w:t>Local government</w:t>
      </w:r>
      <w:r w:rsidRPr="006E77D4">
        <w:rPr>
          <w:rStyle w:val="apple-converted-space"/>
          <w:rFonts w:eastAsiaTheme="minorEastAsia"/>
          <w:color w:val="333333"/>
        </w:rPr>
        <w:t> </w:t>
      </w:r>
      <w:r w:rsidRPr="006E77D4">
        <w:rPr>
          <w:color w:val="333333"/>
        </w:rPr>
        <w:t>in</w:t>
      </w:r>
      <w:r w:rsidRPr="006E77D4">
        <w:rPr>
          <w:rStyle w:val="apple-converted-space"/>
          <w:rFonts w:eastAsiaTheme="minorEastAsia"/>
          <w:color w:val="333333"/>
        </w:rPr>
        <w:t> </w:t>
      </w:r>
      <w:hyperlink r:id="rId19" w:history="1">
        <w:r w:rsidRPr="006E77D4">
          <w:rPr>
            <w:rStyle w:val="Hyperlink"/>
            <w:color w:val="0068AC"/>
          </w:rPr>
          <w:t>§ 200.1</w:t>
        </w:r>
      </w:hyperlink>
      <w:r w:rsidRPr="006E77D4">
        <w:rPr>
          <w:rStyle w:val="apple-converted-space"/>
          <w:rFonts w:eastAsiaTheme="minorEastAsia"/>
          <w:color w:val="333333"/>
        </w:rPr>
        <w:t> </w:t>
      </w:r>
      <w:r w:rsidRPr="006E77D4">
        <w:rPr>
          <w:color w:val="333333"/>
        </w:rPr>
        <w:t>of this part), up to 50% of salaries and expenses directly attributable to managing and operating</w:t>
      </w:r>
      <w:r w:rsidRPr="006E77D4">
        <w:rPr>
          <w:rStyle w:val="apple-converted-space"/>
          <w:rFonts w:eastAsiaTheme="minorEastAsia"/>
          <w:color w:val="333333"/>
        </w:rPr>
        <w:t>  </w:t>
      </w:r>
      <w:hyperlink r:id="rId20" w:history="1">
        <w:r w:rsidRPr="006E77D4">
          <w:rPr>
            <w:rStyle w:val="Hyperlink"/>
            <w:color w:val="0068AC"/>
          </w:rPr>
          <w:t>Federal programs</w:t>
        </w:r>
      </w:hyperlink>
      <w:r w:rsidRPr="006E77D4">
        <w:rPr>
          <w:rStyle w:val="apple-converted-space"/>
          <w:rFonts w:eastAsiaTheme="minorEastAsia"/>
          <w:color w:val="333333"/>
        </w:rPr>
        <w:t> </w:t>
      </w:r>
      <w:r w:rsidRPr="006E77D4">
        <w:rPr>
          <w:color w:val="333333"/>
        </w:rPr>
        <w:t>by the chief executive and his or her staff can be included in the indirect cost calculation without documentation.</w:t>
      </w:r>
    </w:p>
    <w:p w14:paraId="094DD5D5" w14:textId="77777777" w:rsidR="00591996" w:rsidRDefault="00591996" w:rsidP="009E1558">
      <w:pPr>
        <w:pStyle w:val="Heading2"/>
        <w:ind w:left="720"/>
        <w:rPr>
          <w:rFonts w:ascii="Times New Roman" w:hAnsi="Times New Roman" w:cs="Times New Roman"/>
          <w:b/>
          <w:bCs/>
          <w:color w:val="000000"/>
          <w:sz w:val="24"/>
          <w:szCs w:val="24"/>
        </w:rPr>
      </w:pPr>
    </w:p>
    <w:p w14:paraId="33CA7DFE" w14:textId="7837A1F9" w:rsidR="009E1558" w:rsidRPr="006E77D4" w:rsidRDefault="009E1558" w:rsidP="009E1558">
      <w:pPr>
        <w:pStyle w:val="Heading2"/>
        <w:ind w:left="720"/>
        <w:rPr>
          <w:rFonts w:ascii="Times New Roman" w:hAnsi="Times New Roman" w:cs="Times New Roman"/>
          <w:b/>
          <w:bCs/>
          <w:color w:val="000000"/>
          <w:sz w:val="24"/>
          <w:szCs w:val="24"/>
        </w:rPr>
      </w:pPr>
      <w:r w:rsidRPr="006E77D4">
        <w:rPr>
          <w:rFonts w:ascii="Times New Roman" w:hAnsi="Times New Roman" w:cs="Times New Roman"/>
          <w:b/>
          <w:bCs/>
          <w:color w:val="000000"/>
          <w:sz w:val="24"/>
          <w:szCs w:val="24"/>
        </w:rPr>
        <w:lastRenderedPageBreak/>
        <w:t>§ 200.416 Cost allocation plans and indirect cost proposals.</w:t>
      </w:r>
    </w:p>
    <w:p w14:paraId="7A504CBE" w14:textId="77777777" w:rsidR="009E1558" w:rsidRPr="006E77D4" w:rsidRDefault="009E1558" w:rsidP="009E1558">
      <w:pPr>
        <w:pStyle w:val="indent-1"/>
        <w:ind w:left="720"/>
        <w:rPr>
          <w:color w:val="000000"/>
        </w:rPr>
      </w:pPr>
      <w:r w:rsidRPr="006E77D4">
        <w:rPr>
          <w:rStyle w:val="paren"/>
          <w:color w:val="000000"/>
        </w:rPr>
        <w:t>(</w:t>
      </w:r>
      <w:r w:rsidRPr="006E77D4">
        <w:rPr>
          <w:rStyle w:val="paragraph-hierarchy"/>
          <w:color w:val="000000"/>
        </w:rPr>
        <w:t>a</w:t>
      </w:r>
      <w:r w:rsidRPr="006E77D4">
        <w:rPr>
          <w:rStyle w:val="paren"/>
          <w:color w:val="000000"/>
        </w:rPr>
        <w:t>)</w:t>
      </w:r>
      <w:r w:rsidRPr="006E77D4">
        <w:rPr>
          <w:rStyle w:val="apple-converted-space"/>
          <w:rFonts w:eastAsiaTheme="minorEastAsia"/>
          <w:color w:val="000000"/>
        </w:rPr>
        <w:t> </w:t>
      </w:r>
      <w:r w:rsidRPr="006E77D4">
        <w:rPr>
          <w:color w:val="000000"/>
        </w:rPr>
        <w:t>For states, local governments and Indian tribes, certain services, such as motor pools, computer centers, purchasing, accounting, etc., are provided to operating agencies on a centralized basis. Since Federal awards are performed within the individual operating agencies, there needs to be a process whereby these central service costs can be identified and assigned to benefitted activities on a reasonable and consistent basis. The central service cost allocation plan provides that process.</w:t>
      </w:r>
      <w:r w:rsidRPr="006E77D4">
        <w:rPr>
          <w:rStyle w:val="apple-converted-space"/>
          <w:rFonts w:eastAsiaTheme="minorEastAsia"/>
          <w:color w:val="000000"/>
        </w:rPr>
        <w:t> </w:t>
      </w:r>
    </w:p>
    <w:p w14:paraId="759CFC32" w14:textId="77777777" w:rsidR="009E1558" w:rsidRPr="006E77D4" w:rsidRDefault="009E1558" w:rsidP="009E1558">
      <w:pPr>
        <w:pStyle w:val="indent-1"/>
        <w:ind w:left="720"/>
        <w:rPr>
          <w:color w:val="000000"/>
        </w:rPr>
      </w:pPr>
      <w:r w:rsidRPr="006E77D4">
        <w:rPr>
          <w:rStyle w:val="paren"/>
          <w:color w:val="000000"/>
        </w:rPr>
        <w:t>(</w:t>
      </w:r>
      <w:r w:rsidRPr="006E77D4">
        <w:rPr>
          <w:rStyle w:val="paragraph-hierarchy"/>
          <w:color w:val="000000"/>
        </w:rPr>
        <w:t>b</w:t>
      </w:r>
      <w:r w:rsidRPr="006E77D4">
        <w:rPr>
          <w:rStyle w:val="paren"/>
          <w:color w:val="000000"/>
        </w:rPr>
        <w:t>)</w:t>
      </w:r>
      <w:r w:rsidRPr="006E77D4">
        <w:rPr>
          <w:rStyle w:val="apple-converted-space"/>
          <w:rFonts w:eastAsiaTheme="minorEastAsia"/>
          <w:color w:val="000000"/>
        </w:rPr>
        <w:t> </w:t>
      </w:r>
      <w:r w:rsidRPr="006E77D4">
        <w:rPr>
          <w:color w:val="000000"/>
        </w:rPr>
        <w:t>Individual operating agencies (governmental department or agency), normally charge Federal awards for indirect costs through an indirect cost rate. A separate indirect cost rate(s) proposal for each operating agency is usually necessary to claim indirect costs under Federal awards. Indirect costs include:</w:t>
      </w:r>
      <w:r w:rsidRPr="006E77D4">
        <w:rPr>
          <w:rStyle w:val="apple-converted-space"/>
          <w:rFonts w:eastAsiaTheme="minorEastAsia"/>
          <w:color w:val="000000"/>
        </w:rPr>
        <w:t> </w:t>
      </w:r>
    </w:p>
    <w:p w14:paraId="22840F04" w14:textId="77777777" w:rsidR="009E1558" w:rsidRPr="006E77D4" w:rsidRDefault="009E1558" w:rsidP="009E1558">
      <w:pPr>
        <w:pStyle w:val="indent-2"/>
        <w:ind w:left="900"/>
        <w:rPr>
          <w:color w:val="000000"/>
        </w:rPr>
      </w:pPr>
      <w:r w:rsidRPr="006E77D4">
        <w:rPr>
          <w:rStyle w:val="paren"/>
          <w:color w:val="000000"/>
        </w:rPr>
        <w:t>(</w:t>
      </w:r>
      <w:r w:rsidRPr="006E77D4">
        <w:rPr>
          <w:rStyle w:val="paragraph-hierarchy"/>
          <w:color w:val="000000"/>
        </w:rPr>
        <w:t>1</w:t>
      </w:r>
      <w:r w:rsidRPr="006E77D4">
        <w:rPr>
          <w:rStyle w:val="paren"/>
          <w:color w:val="000000"/>
        </w:rPr>
        <w:t>)</w:t>
      </w:r>
      <w:r w:rsidRPr="006E77D4">
        <w:rPr>
          <w:rStyle w:val="apple-converted-space"/>
          <w:rFonts w:eastAsiaTheme="minorEastAsia"/>
          <w:color w:val="000000"/>
        </w:rPr>
        <w:t> </w:t>
      </w:r>
      <w:r w:rsidRPr="006E77D4">
        <w:rPr>
          <w:color w:val="000000"/>
        </w:rPr>
        <w:t>The indirect costs originating in each department or agency of the governmental unit carrying out Federal awards and</w:t>
      </w:r>
      <w:r w:rsidRPr="006E77D4">
        <w:rPr>
          <w:rStyle w:val="apple-converted-space"/>
          <w:rFonts w:eastAsiaTheme="minorEastAsia"/>
          <w:color w:val="000000"/>
        </w:rPr>
        <w:t> </w:t>
      </w:r>
    </w:p>
    <w:p w14:paraId="3F40C1E1" w14:textId="77777777" w:rsidR="009E1558" w:rsidRPr="006E77D4" w:rsidRDefault="009E1558" w:rsidP="009E1558">
      <w:pPr>
        <w:pStyle w:val="indent-2"/>
        <w:ind w:left="900"/>
        <w:rPr>
          <w:color w:val="000000"/>
        </w:rPr>
      </w:pPr>
      <w:r w:rsidRPr="006E77D4">
        <w:rPr>
          <w:rStyle w:val="paren"/>
          <w:color w:val="000000"/>
        </w:rPr>
        <w:t>(</w:t>
      </w:r>
      <w:r w:rsidRPr="006E77D4">
        <w:rPr>
          <w:rStyle w:val="paragraph-hierarchy"/>
          <w:color w:val="000000"/>
        </w:rPr>
        <w:t>2</w:t>
      </w:r>
      <w:r w:rsidRPr="006E77D4">
        <w:rPr>
          <w:rStyle w:val="paren"/>
          <w:color w:val="000000"/>
        </w:rPr>
        <w:t>)</w:t>
      </w:r>
      <w:r w:rsidRPr="006E77D4">
        <w:rPr>
          <w:rStyle w:val="apple-converted-space"/>
          <w:rFonts w:eastAsiaTheme="minorEastAsia"/>
          <w:color w:val="000000"/>
        </w:rPr>
        <w:t> </w:t>
      </w:r>
      <w:r w:rsidRPr="006E77D4">
        <w:rPr>
          <w:color w:val="000000"/>
        </w:rPr>
        <w:t>The costs of central governmental services distributed through the central service cost allocation plan and not otherwise treated as direct costs.</w:t>
      </w:r>
      <w:r w:rsidRPr="006E77D4">
        <w:rPr>
          <w:rStyle w:val="apple-converted-space"/>
          <w:rFonts w:eastAsiaTheme="minorEastAsia"/>
          <w:color w:val="000000"/>
        </w:rPr>
        <w:t> </w:t>
      </w:r>
    </w:p>
    <w:p w14:paraId="325A9BC5" w14:textId="77777777" w:rsidR="009E1558" w:rsidRPr="006E77D4" w:rsidRDefault="009E1558" w:rsidP="009E1558">
      <w:pPr>
        <w:pStyle w:val="indent-1"/>
        <w:ind w:left="720"/>
        <w:rPr>
          <w:color w:val="000000"/>
        </w:rPr>
      </w:pPr>
      <w:r w:rsidRPr="006E77D4">
        <w:rPr>
          <w:rStyle w:val="paren"/>
          <w:color w:val="000000"/>
        </w:rPr>
        <w:t>(</w:t>
      </w:r>
      <w:r w:rsidRPr="006E77D4">
        <w:rPr>
          <w:rStyle w:val="paragraph-hierarchy"/>
          <w:color w:val="000000"/>
        </w:rPr>
        <w:t>c</w:t>
      </w:r>
      <w:r w:rsidRPr="006E77D4">
        <w:rPr>
          <w:rStyle w:val="paren"/>
          <w:color w:val="000000"/>
        </w:rPr>
        <w:t>)</w:t>
      </w:r>
      <w:r w:rsidRPr="006E77D4">
        <w:rPr>
          <w:rStyle w:val="apple-converted-space"/>
          <w:rFonts w:eastAsiaTheme="minorEastAsia"/>
          <w:color w:val="000000"/>
        </w:rPr>
        <w:t> </w:t>
      </w:r>
      <w:r w:rsidRPr="006E77D4">
        <w:rPr>
          <w:color w:val="000000"/>
        </w:rPr>
        <w:t>The requirements for development and submission of cost allocation plans (for central service costs and public assistance programs) and indirect cost rate proposals are contained in appendices V, VI and VII to this part.</w:t>
      </w:r>
      <w:r w:rsidRPr="006E77D4">
        <w:rPr>
          <w:rStyle w:val="apple-converted-space"/>
          <w:rFonts w:eastAsiaTheme="minorEastAsia"/>
          <w:color w:val="000000"/>
        </w:rPr>
        <w:t> </w:t>
      </w:r>
    </w:p>
    <w:p w14:paraId="5916B5E6" w14:textId="77777777" w:rsidR="009E1558" w:rsidRPr="006E77D4" w:rsidRDefault="009E1558" w:rsidP="009E1558">
      <w:pPr>
        <w:pStyle w:val="Heading2"/>
        <w:ind w:left="720"/>
        <w:rPr>
          <w:rFonts w:ascii="Times New Roman" w:hAnsi="Times New Roman" w:cs="Times New Roman"/>
          <w:b/>
          <w:bCs/>
          <w:color w:val="000000"/>
          <w:sz w:val="24"/>
          <w:szCs w:val="24"/>
        </w:rPr>
      </w:pPr>
      <w:r w:rsidRPr="006E77D4">
        <w:rPr>
          <w:rFonts w:ascii="Times New Roman" w:hAnsi="Times New Roman" w:cs="Times New Roman"/>
          <w:b/>
          <w:bCs/>
          <w:color w:val="000000"/>
          <w:sz w:val="24"/>
          <w:szCs w:val="24"/>
        </w:rPr>
        <w:t>§ 200.417 Interagency service.</w:t>
      </w:r>
    </w:p>
    <w:p w14:paraId="574D1085" w14:textId="77777777" w:rsidR="009E1558" w:rsidRPr="006E77D4" w:rsidRDefault="009E1558" w:rsidP="009E1558">
      <w:pPr>
        <w:pStyle w:val="NormalWeb"/>
        <w:ind w:left="720"/>
        <w:rPr>
          <w:color w:val="000000"/>
        </w:rPr>
      </w:pPr>
      <w:r w:rsidRPr="006E77D4">
        <w:rPr>
          <w:color w:val="000000"/>
        </w:rPr>
        <w:t>The cost of services provided by one agency to another within the governmental unit may include allowable direct costs of the service plus a pro-rated share of indirect costs. A standard indirect cost allowance equal to ten percent of the direct salary and wage cost of providing the service (excluding overtime, shift premiums, and fringe benefits) may be used in lieu of determining the actual indirect costs of the service. These services do not include centralized services included in central service cost allocation plans as described in Appendix V to Part 200.</w:t>
      </w:r>
    </w:p>
    <w:p w14:paraId="427FA199" w14:textId="77777777" w:rsidR="009E1558" w:rsidRPr="006E77D4" w:rsidRDefault="009E1558" w:rsidP="009E1558">
      <w:pPr>
        <w:pStyle w:val="Heading4"/>
        <w:rPr>
          <w:rFonts w:ascii="Times New Roman" w:hAnsi="Times New Roman" w:cs="Times New Roman"/>
          <w:b/>
          <w:bCs/>
          <w:sz w:val="24"/>
          <w:szCs w:val="24"/>
        </w:rPr>
      </w:pPr>
      <w:r w:rsidRPr="006E77D4">
        <w:rPr>
          <w:rFonts w:ascii="Times New Roman" w:hAnsi="Times New Roman" w:cs="Times New Roman"/>
          <w:b/>
          <w:bCs/>
          <w:sz w:val="24"/>
          <w:szCs w:val="24"/>
        </w:rPr>
        <w:t>COST ALLOWABILITY REVIEW PROCESS</w:t>
      </w:r>
    </w:p>
    <w:p w14:paraId="356737E9" w14:textId="77777777" w:rsidR="009E1558" w:rsidRPr="006E77D4" w:rsidRDefault="009E1558" w:rsidP="009E1558">
      <w:pPr>
        <w:pStyle w:val="Heading4"/>
        <w:rPr>
          <w:rFonts w:ascii="Times New Roman" w:hAnsi="Times New Roman" w:cs="Times New Roman"/>
          <w:b/>
          <w:bCs/>
          <w:sz w:val="24"/>
          <w:szCs w:val="24"/>
        </w:rPr>
      </w:pPr>
      <w:r w:rsidRPr="006E77D4">
        <w:rPr>
          <w:rFonts w:ascii="Times New Roman" w:hAnsi="Times New Roman" w:cs="Times New Roman"/>
          <w:b/>
          <w:bCs/>
          <w:sz w:val="24"/>
          <w:szCs w:val="24"/>
        </w:rPr>
        <w:t>Preapproval Cost Allowability Review</w:t>
      </w:r>
    </w:p>
    <w:p w14:paraId="53D8AA81" w14:textId="77777777" w:rsidR="009E1558" w:rsidRPr="006E77D4" w:rsidRDefault="009E1558" w:rsidP="009E1558">
      <w:p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Before an ARP/CSLFRF-funded project is authorized, [</w:t>
      </w:r>
      <w:r w:rsidRPr="006E77D4">
        <w:rPr>
          <w:rFonts w:ascii="Times New Roman" w:eastAsia="Times New Roman" w:hAnsi="Times New Roman" w:cs="Times New Roman"/>
          <w:sz w:val="24"/>
          <w:szCs w:val="24"/>
          <w:u w:val="single"/>
        </w:rPr>
        <w:t>DEPARTMENT AND/OR INDIVIDUAL POSITION(S)]</w:t>
      </w:r>
      <w:r w:rsidRPr="006E77D4">
        <w:rPr>
          <w:rFonts w:ascii="Times New Roman" w:eastAsia="Times New Roman" w:hAnsi="Times New Roman" w:cs="Times New Roman"/>
          <w:sz w:val="24"/>
          <w:szCs w:val="24"/>
        </w:rPr>
        <w:t xml:space="preserve"> must review the proposed cost items within an estimated project </w:t>
      </w:r>
      <w:r>
        <w:rPr>
          <w:rFonts w:ascii="Times New Roman" w:eastAsia="Times New Roman" w:hAnsi="Times New Roman" w:cs="Times New Roman"/>
          <w:sz w:val="24"/>
          <w:szCs w:val="24"/>
        </w:rPr>
        <w:t xml:space="preserve">budget </w:t>
      </w:r>
      <w:r w:rsidRPr="006E77D4">
        <w:rPr>
          <w:rFonts w:ascii="Times New Roman" w:eastAsia="Times New Roman" w:hAnsi="Times New Roman" w:cs="Times New Roman"/>
          <w:sz w:val="24"/>
          <w:szCs w:val="24"/>
        </w:rPr>
        <w:t xml:space="preserve">to determine whether they are allowable and allocable and whether cost items will be charged as direct or indirect expenses. This review will occur concurrently with the review of project eligibility and </w:t>
      </w:r>
      <w:r w:rsidRPr="006E77D4">
        <w:rPr>
          <w:rFonts w:ascii="Times New Roman" w:eastAsia="Times New Roman" w:hAnsi="Times New Roman" w:cs="Times New Roman"/>
          <w:i/>
          <w:sz w:val="24"/>
          <w:szCs w:val="24"/>
        </w:rPr>
        <w:t xml:space="preserve">before </w:t>
      </w:r>
      <w:r w:rsidRPr="006E77D4">
        <w:rPr>
          <w:rFonts w:ascii="Times New Roman" w:eastAsia="Times New Roman" w:hAnsi="Times New Roman" w:cs="Times New Roman"/>
          <w:sz w:val="24"/>
          <w:szCs w:val="24"/>
        </w:rPr>
        <w:t xml:space="preserve">obligating or expending any ARP/CSLFRF funds. </w:t>
      </w:r>
    </w:p>
    <w:p w14:paraId="3A11EDEE" w14:textId="77777777" w:rsidR="009E1558" w:rsidRPr="006E77D4" w:rsidRDefault="009E1558" w:rsidP="009E1558">
      <w:pPr>
        <w:pStyle w:val="ListParagraph"/>
        <w:numPr>
          <w:ilvl w:val="0"/>
          <w:numId w:val="6"/>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 xml:space="preserve">Local government personnel must submit proposed ARP/CSLFRF projects to [DEPARTMENT AND/OR INDIVIDUAL POSITION(S)] for review. In addition to other required information, all proposed project submissions must delineate estimated </w:t>
      </w:r>
      <w:r w:rsidRPr="006E77D4">
        <w:rPr>
          <w:rFonts w:ascii="Times New Roman" w:eastAsia="Times New Roman" w:hAnsi="Times New Roman" w:cs="Times New Roman"/>
          <w:sz w:val="24"/>
          <w:szCs w:val="24"/>
        </w:rPr>
        <w:lastRenderedPageBreak/>
        <w:t xml:space="preserve">costs by </w:t>
      </w:r>
      <w:r>
        <w:rPr>
          <w:rFonts w:ascii="Times New Roman" w:eastAsia="Times New Roman" w:hAnsi="Times New Roman" w:cs="Times New Roman"/>
          <w:sz w:val="24"/>
          <w:szCs w:val="24"/>
        </w:rPr>
        <w:t>cost item</w:t>
      </w:r>
      <w:r w:rsidRPr="006E77D4">
        <w:rPr>
          <w:rFonts w:ascii="Times New Roman" w:eastAsia="Times New Roman" w:hAnsi="Times New Roman" w:cs="Times New Roman"/>
          <w:sz w:val="24"/>
          <w:szCs w:val="24"/>
        </w:rPr>
        <w:t xml:space="preserve">. </w:t>
      </w:r>
      <w:r w:rsidRPr="00F97757">
        <w:rPr>
          <w:rFonts w:ascii="Times New Roman" w:eastAsia="Times New Roman" w:hAnsi="Times New Roman" w:cs="Times New Roman"/>
          <w:color w:val="FF0000"/>
          <w:sz w:val="24"/>
          <w:szCs w:val="24"/>
        </w:rPr>
        <w:t>[NOTE THAT A LOCAL GOVERNMENT SHOULD CONSIDER PROVIDING A PROJECT BUDGET TEMPLATE THAT LISTS ALL POTENTIAL COST ITEMS.]</w:t>
      </w:r>
    </w:p>
    <w:p w14:paraId="5CE19FD9" w14:textId="77777777" w:rsidR="009E1558" w:rsidRPr="006E77D4" w:rsidRDefault="009E1558" w:rsidP="009E1558">
      <w:pPr>
        <w:pStyle w:val="ListParagraph"/>
        <w:spacing w:line="240" w:lineRule="auto"/>
        <w:jc w:val="left"/>
        <w:rPr>
          <w:rFonts w:ascii="Times New Roman" w:eastAsia="Times New Roman" w:hAnsi="Times New Roman" w:cs="Times New Roman"/>
          <w:sz w:val="24"/>
          <w:szCs w:val="24"/>
        </w:rPr>
      </w:pPr>
    </w:p>
    <w:p w14:paraId="56BE203F" w14:textId="63DA4E41" w:rsidR="009E1558" w:rsidRPr="006E77D4" w:rsidRDefault="009E1558" w:rsidP="009E1558">
      <w:pPr>
        <w:pStyle w:val="ListParagraph"/>
        <w:numPr>
          <w:ilvl w:val="0"/>
          <w:numId w:val="6"/>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 xml:space="preserve">Along with a general review of project eligibility and conformance with other governing board management directives, </w:t>
      </w:r>
      <w:r w:rsidR="00FF20A0">
        <w:rPr>
          <w:rFonts w:ascii="Times New Roman" w:eastAsia="Times New Roman" w:hAnsi="Times New Roman" w:cs="Times New Roman"/>
          <w:sz w:val="24"/>
          <w:szCs w:val="24"/>
        </w:rPr>
        <w:t xml:space="preserve">if required, </w:t>
      </w:r>
      <w:r w:rsidRPr="006E77D4">
        <w:rPr>
          <w:rFonts w:ascii="Times New Roman" w:eastAsia="Times New Roman" w:hAnsi="Times New Roman" w:cs="Times New Roman"/>
          <w:sz w:val="24"/>
          <w:szCs w:val="24"/>
        </w:rPr>
        <w:t xml:space="preserve">[DEPARTMENT AND/OR INDIVIDUAL POSITION(S)] must review estimated costs for specific allowable </w:t>
      </w:r>
      <w:r>
        <w:rPr>
          <w:rFonts w:ascii="Times New Roman" w:eastAsia="Times New Roman" w:hAnsi="Times New Roman" w:cs="Times New Roman"/>
          <w:sz w:val="24"/>
          <w:szCs w:val="24"/>
        </w:rPr>
        <w:t>cost</w:t>
      </w:r>
      <w:r w:rsidRPr="006E77D4">
        <w:rPr>
          <w:rFonts w:ascii="Times New Roman" w:eastAsia="Times New Roman" w:hAnsi="Times New Roman" w:cs="Times New Roman"/>
          <w:sz w:val="24"/>
          <w:szCs w:val="24"/>
        </w:rPr>
        <w:t xml:space="preserve"> requirements, budget parameters, indirect rates, fringe benefit rates, and those activities/costs that require pre-approval by the US Treasury. </w:t>
      </w:r>
      <w:r w:rsidRPr="00F97757">
        <w:rPr>
          <w:rFonts w:ascii="Times New Roman" w:eastAsia="Times New Roman" w:hAnsi="Times New Roman" w:cs="Times New Roman"/>
          <w:color w:val="FF0000"/>
          <w:sz w:val="24"/>
          <w:szCs w:val="24"/>
        </w:rPr>
        <w:t>[NOTE THAT LOCAL GOVERNMENT SHOULD CROSS-REFERENCE ITS PROJECT ELIGIBILIGY REVIEW POLICY HERE.]</w:t>
      </w:r>
    </w:p>
    <w:p w14:paraId="56E7F79D" w14:textId="77777777" w:rsidR="009E1558" w:rsidRPr="006E77D4" w:rsidRDefault="009E1558" w:rsidP="009E1558">
      <w:pPr>
        <w:pStyle w:val="ListParagraph"/>
        <w:spacing w:line="240" w:lineRule="auto"/>
        <w:jc w:val="left"/>
        <w:rPr>
          <w:rFonts w:ascii="Times New Roman" w:eastAsia="Times New Roman" w:hAnsi="Times New Roman" w:cs="Times New Roman"/>
          <w:sz w:val="24"/>
          <w:szCs w:val="24"/>
        </w:rPr>
      </w:pPr>
    </w:p>
    <w:p w14:paraId="1C131D00" w14:textId="77777777" w:rsidR="009E1558" w:rsidRPr="006E77D4" w:rsidRDefault="009E1558" w:rsidP="009E1558">
      <w:pPr>
        <w:pStyle w:val="ListParagraph"/>
        <w:numPr>
          <w:ilvl w:val="0"/>
          <w:numId w:val="6"/>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If a proposed project includes a request for an unallowable cost, the [DEPARTMENT AND/OR INDVIIDUAL POSITION(S)] will return the proposal to the requesting party for review and, if practicable, resubmission with corrected cost items.</w:t>
      </w:r>
    </w:p>
    <w:p w14:paraId="244C501C" w14:textId="77777777" w:rsidR="009E1558" w:rsidRPr="006E77D4" w:rsidRDefault="009E1558" w:rsidP="009E1558">
      <w:pPr>
        <w:pStyle w:val="ListParagraph"/>
        <w:jc w:val="left"/>
        <w:rPr>
          <w:rFonts w:ascii="Times New Roman" w:eastAsia="Times New Roman" w:hAnsi="Times New Roman" w:cs="Times New Roman"/>
          <w:sz w:val="24"/>
          <w:szCs w:val="24"/>
        </w:rPr>
      </w:pPr>
    </w:p>
    <w:p w14:paraId="1EAA041C" w14:textId="77777777" w:rsidR="009E1558" w:rsidRPr="006E77D4" w:rsidRDefault="009E1558" w:rsidP="009E1558">
      <w:pPr>
        <w:pStyle w:val="ListParagraph"/>
        <w:numPr>
          <w:ilvl w:val="0"/>
          <w:numId w:val="6"/>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Once a proposed project budget is pre-approved by [DEPARTMENT AND/OR INDIVDIUAL POSITION(S)], the local government personnel responsible for implementing the project must conform actual obligations and expenditures to the pre-approved project budget.</w:t>
      </w:r>
    </w:p>
    <w:p w14:paraId="7B6C7A03" w14:textId="77777777" w:rsidR="009E1558" w:rsidRPr="006E77D4" w:rsidRDefault="009E1558" w:rsidP="009E1558">
      <w:pPr>
        <w:pStyle w:val="Heading4"/>
        <w:rPr>
          <w:rFonts w:ascii="Times New Roman" w:hAnsi="Times New Roman" w:cs="Times New Roman"/>
          <w:b/>
          <w:bCs/>
          <w:sz w:val="24"/>
          <w:szCs w:val="24"/>
        </w:rPr>
      </w:pPr>
      <w:r w:rsidRPr="006E77D4">
        <w:rPr>
          <w:rFonts w:ascii="Times New Roman" w:hAnsi="Times New Roman" w:cs="Times New Roman"/>
          <w:b/>
          <w:bCs/>
          <w:sz w:val="24"/>
          <w:szCs w:val="24"/>
        </w:rPr>
        <w:t>Post-expenditure Cost Allowability Review</w:t>
      </w:r>
    </w:p>
    <w:p w14:paraId="0B91CF1C" w14:textId="77777777" w:rsidR="009E1558" w:rsidRPr="006E77D4" w:rsidRDefault="009E1558" w:rsidP="009E1558">
      <w:pPr>
        <w:jc w:val="left"/>
        <w:rPr>
          <w:rFonts w:ascii="Times New Roman" w:hAnsi="Times New Roman" w:cs="Times New Roman"/>
          <w:sz w:val="24"/>
          <w:szCs w:val="24"/>
        </w:rPr>
      </w:pPr>
      <w:r w:rsidRPr="006E77D4">
        <w:rPr>
          <w:rFonts w:ascii="Times New Roman" w:hAnsi="Times New Roman" w:cs="Times New Roman"/>
          <w:sz w:val="24"/>
          <w:szCs w:val="24"/>
        </w:rPr>
        <w:t xml:space="preserve">Once an expenditure is incurred related to an eligible project, and an invoice or other demand for payment is submitted to the local government, the [DEPARTMENT AND/OR INDIVIDUAL POSITION(S)] must perform a second review to ensure that actual expenditures comprise allowable costs. </w:t>
      </w:r>
    </w:p>
    <w:p w14:paraId="73C32F20" w14:textId="77777777" w:rsidR="009E1558" w:rsidRDefault="009E1558" w:rsidP="009E1558">
      <w:pPr>
        <w:pStyle w:val="ListParagraph"/>
        <w:numPr>
          <w:ilvl w:val="0"/>
          <w:numId w:val="7"/>
        </w:numPr>
        <w:jc w:val="left"/>
        <w:rPr>
          <w:rFonts w:ascii="Times New Roman" w:hAnsi="Times New Roman" w:cs="Times New Roman"/>
          <w:sz w:val="24"/>
          <w:szCs w:val="24"/>
        </w:rPr>
      </w:pPr>
      <w:r w:rsidRPr="006E77D4">
        <w:rPr>
          <w:rFonts w:ascii="Times New Roman" w:hAnsi="Times New Roman" w:cs="Times New Roman"/>
          <w:sz w:val="24"/>
          <w:szCs w:val="24"/>
        </w:rPr>
        <w:t xml:space="preserve">All invoices or other demands for payment must include a breakdown by cost item. The cost items should mirror those presented in the proposed budget for the project. If an invoice or other demand for payment does not include a breakdown by cost item, the [DEPARTMENT AND/OR INDIVDIUAL POSITION(S)] will return the invoice to the project manager and/or vendor, contractor, or subrecipient for correction. </w:t>
      </w:r>
    </w:p>
    <w:p w14:paraId="21F3C32E" w14:textId="77777777" w:rsidR="009E1558" w:rsidRPr="006E77D4" w:rsidRDefault="009E1558" w:rsidP="009E1558">
      <w:pPr>
        <w:pStyle w:val="ListParagraph"/>
        <w:jc w:val="left"/>
        <w:rPr>
          <w:rFonts w:ascii="Times New Roman" w:hAnsi="Times New Roman" w:cs="Times New Roman"/>
          <w:sz w:val="24"/>
          <w:szCs w:val="24"/>
        </w:rPr>
      </w:pPr>
    </w:p>
    <w:p w14:paraId="1F938C90" w14:textId="77777777" w:rsidR="009E1558" w:rsidRPr="006E77D4" w:rsidRDefault="009E1558" w:rsidP="009E1558">
      <w:pPr>
        <w:pStyle w:val="ListParagraph"/>
        <w:numPr>
          <w:ilvl w:val="0"/>
          <w:numId w:val="7"/>
        </w:numPr>
        <w:jc w:val="left"/>
        <w:rPr>
          <w:rFonts w:ascii="Times New Roman" w:hAnsi="Times New Roman" w:cs="Times New Roman"/>
          <w:sz w:val="24"/>
          <w:szCs w:val="24"/>
        </w:rPr>
      </w:pPr>
      <w:r w:rsidRPr="006E77D4">
        <w:rPr>
          <w:rFonts w:ascii="Times New Roman" w:hAnsi="Times New Roman" w:cs="Times New Roman"/>
          <w:sz w:val="24"/>
          <w:szCs w:val="24"/>
        </w:rPr>
        <w:t xml:space="preserve">The [DEPARTMENT AND/OR INDIVIDUAL POSITION(S)] must review the individual cost items listed on the invoice or other demand for payment to determine their allowability and allocability. </w:t>
      </w:r>
    </w:p>
    <w:p w14:paraId="7A842369" w14:textId="77777777" w:rsidR="009E1558" w:rsidRPr="006E77D4" w:rsidRDefault="009E1558" w:rsidP="009E1558">
      <w:pPr>
        <w:pStyle w:val="ListParagraph"/>
        <w:jc w:val="left"/>
        <w:rPr>
          <w:rFonts w:ascii="Times New Roman" w:hAnsi="Times New Roman" w:cs="Times New Roman"/>
          <w:sz w:val="24"/>
          <w:szCs w:val="24"/>
        </w:rPr>
      </w:pPr>
    </w:p>
    <w:p w14:paraId="3A4F6EB4" w14:textId="77777777" w:rsidR="009E1558" w:rsidRPr="006E77D4" w:rsidRDefault="009E1558" w:rsidP="009E1558">
      <w:pPr>
        <w:pStyle w:val="ListParagraph"/>
        <w:numPr>
          <w:ilvl w:val="0"/>
          <w:numId w:val="7"/>
        </w:numPr>
        <w:jc w:val="left"/>
        <w:rPr>
          <w:rFonts w:ascii="Times New Roman" w:hAnsi="Times New Roman" w:cs="Times New Roman"/>
          <w:sz w:val="24"/>
          <w:szCs w:val="24"/>
        </w:rPr>
      </w:pPr>
      <w:r w:rsidRPr="006E77D4">
        <w:rPr>
          <w:rFonts w:ascii="Times New Roman" w:hAnsi="Times New Roman" w:cs="Times New Roman"/>
          <w:sz w:val="24"/>
          <w:szCs w:val="24"/>
        </w:rPr>
        <w:t>If all cost items are deemed allowable and properly allocable, the [DEPARTMENT AND/OR INDVIDIUAL POSITION(S)] must proceed through the local government’s normal disbursement process.</w:t>
      </w:r>
    </w:p>
    <w:p w14:paraId="1456B71A" w14:textId="77777777" w:rsidR="009E1558" w:rsidRPr="006E77D4" w:rsidRDefault="009E1558" w:rsidP="009E1558">
      <w:pPr>
        <w:pStyle w:val="ListParagraph"/>
        <w:jc w:val="left"/>
        <w:rPr>
          <w:rFonts w:ascii="Times New Roman" w:hAnsi="Times New Roman" w:cs="Times New Roman"/>
          <w:sz w:val="24"/>
          <w:szCs w:val="24"/>
        </w:rPr>
      </w:pPr>
    </w:p>
    <w:p w14:paraId="5DBB0D67" w14:textId="77777777" w:rsidR="009E1558" w:rsidRPr="006E77D4" w:rsidRDefault="009E1558" w:rsidP="009E1558">
      <w:pPr>
        <w:pStyle w:val="ListParagraph"/>
        <w:numPr>
          <w:ilvl w:val="0"/>
          <w:numId w:val="7"/>
        </w:numPr>
        <w:jc w:val="left"/>
        <w:rPr>
          <w:rFonts w:ascii="Times New Roman" w:hAnsi="Times New Roman" w:cs="Times New Roman"/>
          <w:sz w:val="24"/>
          <w:szCs w:val="24"/>
        </w:rPr>
      </w:pPr>
      <w:r w:rsidRPr="006E77D4">
        <w:rPr>
          <w:rFonts w:ascii="Times New Roman" w:hAnsi="Times New Roman" w:cs="Times New Roman"/>
          <w:sz w:val="24"/>
          <w:szCs w:val="24"/>
        </w:rPr>
        <w:t xml:space="preserve">If any cost item is deemed unallowable, the [DEPARTMENT AND/OR INDIVIDUAL POSITION(S)] will notify the project management and/or vendor, contractor, or subrecipient that a portion of the invoice or other demand for payment will not be paid </w:t>
      </w:r>
      <w:r w:rsidRPr="006E77D4">
        <w:rPr>
          <w:rFonts w:ascii="Times New Roman" w:hAnsi="Times New Roman" w:cs="Times New Roman"/>
          <w:sz w:val="24"/>
          <w:szCs w:val="24"/>
        </w:rPr>
        <w:lastRenderedPageBreak/>
        <w:t>with ARP/CSLFRF funds. The [DEPARTMENT AND/OR INDIVIDUAL POSITION(S)] may in their discretion, and consistent with this policy, allow an invoice or other demand for payment to be resubmitted with a revised cost allocation. If the local government remains legally obligated by contract or otherwise to pay the disallowed cost item, it must identify other local government funds to cover the disbursement. [LOCAL GOVERNMENT NAME]’S governing board must approve any allocation of other funds for this purpose.</w:t>
      </w:r>
    </w:p>
    <w:p w14:paraId="6BFE01A8" w14:textId="77777777" w:rsidR="009E1558" w:rsidRPr="006E77D4" w:rsidRDefault="009E1558" w:rsidP="009E1558">
      <w:pPr>
        <w:pStyle w:val="ListParagraph"/>
        <w:jc w:val="left"/>
        <w:rPr>
          <w:rFonts w:ascii="Times New Roman" w:hAnsi="Times New Roman" w:cs="Times New Roman"/>
          <w:sz w:val="24"/>
          <w:szCs w:val="24"/>
        </w:rPr>
      </w:pPr>
    </w:p>
    <w:p w14:paraId="0A9270B0" w14:textId="77777777" w:rsidR="009E1558" w:rsidRPr="006E77D4" w:rsidRDefault="009E1558" w:rsidP="009E1558">
      <w:pPr>
        <w:pStyle w:val="ListParagraph"/>
        <w:numPr>
          <w:ilvl w:val="0"/>
          <w:numId w:val="7"/>
        </w:numPr>
        <w:spacing w:line="240" w:lineRule="auto"/>
        <w:jc w:val="left"/>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 xml:space="preserve">The [DEPARTMENT AND/OR INDIVIDUAL POSITION(S)] must retain appropriate documentation of budgeted cost items per project and actual obligations and expenditures of cost items per project. </w:t>
      </w:r>
    </w:p>
    <w:p w14:paraId="2EF9BDB8" w14:textId="77777777" w:rsidR="009E1558" w:rsidRPr="006E77D4" w:rsidRDefault="009E1558" w:rsidP="009E1558">
      <w:pPr>
        <w:pStyle w:val="Heading4"/>
        <w:rPr>
          <w:rFonts w:ascii="Times New Roman" w:hAnsi="Times New Roman" w:cs="Times New Roman"/>
          <w:b/>
          <w:bCs/>
          <w:sz w:val="24"/>
          <w:szCs w:val="24"/>
        </w:rPr>
      </w:pPr>
      <w:r w:rsidRPr="006E77D4">
        <w:rPr>
          <w:rFonts w:ascii="Times New Roman" w:hAnsi="Times New Roman" w:cs="Times New Roman"/>
          <w:b/>
          <w:bCs/>
          <w:sz w:val="24"/>
          <w:szCs w:val="24"/>
        </w:rPr>
        <w:t>COST TRANSFERS</w:t>
      </w:r>
    </w:p>
    <w:p w14:paraId="3DF01502" w14:textId="77777777" w:rsidR="009E1558" w:rsidRPr="006E77D4" w:rsidRDefault="009E1558" w:rsidP="009E1558">
      <w:pPr>
        <w:spacing w:line="240" w:lineRule="auto"/>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Any costs charged to the ARP/CSLFRF federal award that do not meet the allowable cost criteria must be removed from the award account and charged to an account that does not require adherence to federal UGG or other applicable guidelines.</w:t>
      </w:r>
    </w:p>
    <w:p w14:paraId="3E62CD69" w14:textId="77777777" w:rsidR="009E1558" w:rsidRPr="006E77D4" w:rsidRDefault="009E1558" w:rsidP="009E1558">
      <w:pPr>
        <w:spacing w:line="240" w:lineRule="auto"/>
        <w:rPr>
          <w:rFonts w:ascii="Times New Roman" w:eastAsia="Times New Roman" w:hAnsi="Times New Roman" w:cs="Times New Roman"/>
          <w:sz w:val="24"/>
          <w:szCs w:val="24"/>
        </w:rPr>
      </w:pPr>
      <w:r w:rsidRPr="006E77D4">
        <w:rPr>
          <w:rFonts w:ascii="Times New Roman" w:eastAsia="Times New Roman" w:hAnsi="Times New Roman" w:cs="Times New Roman"/>
          <w:sz w:val="24"/>
          <w:szCs w:val="24"/>
        </w:rPr>
        <w:t xml:space="preserve">Failure to adequately follow this policy and related procedures could result in questioned costs, audit findings, potential repayment of disallowed costs and discontinuance of funding. </w:t>
      </w:r>
    </w:p>
    <w:p w14:paraId="6F6F0D42" w14:textId="77777777" w:rsidR="009E1558" w:rsidRPr="006E77D4" w:rsidRDefault="009E1558" w:rsidP="009E1558">
      <w:pPr>
        <w:pStyle w:val="Heading4"/>
        <w:rPr>
          <w:rFonts w:ascii="Times New Roman" w:hAnsi="Times New Roman" w:cs="Times New Roman"/>
          <w:b/>
          <w:bCs/>
          <w:sz w:val="24"/>
          <w:szCs w:val="24"/>
        </w:rPr>
      </w:pPr>
    </w:p>
    <w:p w14:paraId="125C8E32" w14:textId="77777777" w:rsidR="009E1558" w:rsidRPr="006E77D4" w:rsidRDefault="009E1558" w:rsidP="009E1558">
      <w:pPr>
        <w:pStyle w:val="Heading4"/>
        <w:rPr>
          <w:rFonts w:ascii="Times New Roman" w:hAnsi="Times New Roman" w:cs="Times New Roman"/>
          <w:b/>
          <w:bCs/>
          <w:sz w:val="24"/>
          <w:szCs w:val="24"/>
        </w:rPr>
      </w:pPr>
    </w:p>
    <w:p w14:paraId="680D230F" w14:textId="77777777" w:rsidR="00FF20A0" w:rsidRDefault="00FF20A0" w:rsidP="009E1558">
      <w:pPr>
        <w:pStyle w:val="Heading4"/>
        <w:rPr>
          <w:rFonts w:ascii="Times New Roman" w:hAnsi="Times New Roman" w:cs="Times New Roman"/>
          <w:b/>
          <w:bCs/>
          <w:sz w:val="24"/>
          <w:szCs w:val="24"/>
        </w:rPr>
      </w:pPr>
    </w:p>
    <w:p w14:paraId="26FB90EE" w14:textId="7D5CB15C" w:rsidR="009E1558" w:rsidRPr="006E77D4" w:rsidRDefault="009E1558" w:rsidP="009E1558">
      <w:pPr>
        <w:pStyle w:val="Heading4"/>
        <w:rPr>
          <w:rFonts w:ascii="Times New Roman" w:hAnsi="Times New Roman" w:cs="Times New Roman"/>
          <w:b/>
          <w:bCs/>
          <w:sz w:val="24"/>
          <w:szCs w:val="24"/>
        </w:rPr>
      </w:pPr>
      <w:r w:rsidRPr="006E77D4">
        <w:rPr>
          <w:rFonts w:ascii="Times New Roman" w:hAnsi="Times New Roman" w:cs="Times New Roman"/>
          <w:b/>
          <w:bCs/>
          <w:sz w:val="24"/>
          <w:szCs w:val="24"/>
        </w:rPr>
        <w:t>EXHIBIT A</w:t>
      </w:r>
    </w:p>
    <w:p w14:paraId="1BF3CEE8" w14:textId="77777777" w:rsidR="009E1558" w:rsidRPr="00635861" w:rsidRDefault="009E1558" w:rsidP="009E1558">
      <w:pPr>
        <w:rPr>
          <w:rFonts w:asciiTheme="majorHAnsi" w:eastAsia="Times New Roman" w:hAnsiTheme="majorHAnsi" w:cstheme="majorHAnsi"/>
          <w:b/>
          <w:sz w:val="24"/>
          <w:szCs w:val="24"/>
        </w:rPr>
      </w:pP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85"/>
        <w:gridCol w:w="1905"/>
        <w:gridCol w:w="3930"/>
      </w:tblGrid>
      <w:tr w:rsidR="009E1558" w:rsidRPr="00635861" w14:paraId="17B5E9DE" w14:textId="77777777" w:rsidTr="00C71B51">
        <w:trPr>
          <w:trHeight w:val="279"/>
        </w:trPr>
        <w:tc>
          <w:tcPr>
            <w:tcW w:w="3885" w:type="dxa"/>
            <w:shd w:val="clear" w:color="auto" w:fill="D9D9D9"/>
            <w:tcMar>
              <w:top w:w="100" w:type="dxa"/>
              <w:left w:w="100" w:type="dxa"/>
              <w:bottom w:w="100" w:type="dxa"/>
              <w:right w:w="100" w:type="dxa"/>
            </w:tcMar>
          </w:tcPr>
          <w:p w14:paraId="735568F4" w14:textId="77777777" w:rsidR="009E1558" w:rsidRPr="00D210E4" w:rsidRDefault="009E1558" w:rsidP="00C71B51">
            <w:pPr>
              <w:widowControl w:val="0"/>
              <w:spacing w:line="240" w:lineRule="auto"/>
              <w:jc w:val="center"/>
              <w:rPr>
                <w:rFonts w:asciiTheme="majorHAnsi" w:eastAsia="Times New Roman" w:hAnsiTheme="majorHAnsi" w:cstheme="majorHAnsi"/>
                <w:b/>
              </w:rPr>
            </w:pPr>
            <w:r w:rsidRPr="00D210E4">
              <w:rPr>
                <w:rFonts w:asciiTheme="majorHAnsi" w:eastAsia="Times New Roman" w:hAnsiTheme="majorHAnsi" w:cstheme="majorHAnsi"/>
                <w:b/>
              </w:rPr>
              <w:t>Selected Items of Cost</w:t>
            </w:r>
          </w:p>
        </w:tc>
        <w:tc>
          <w:tcPr>
            <w:tcW w:w="1905" w:type="dxa"/>
            <w:shd w:val="clear" w:color="auto" w:fill="D9D9D9"/>
            <w:tcMar>
              <w:top w:w="100" w:type="dxa"/>
              <w:left w:w="100" w:type="dxa"/>
              <w:bottom w:w="100" w:type="dxa"/>
              <w:right w:w="100" w:type="dxa"/>
            </w:tcMar>
          </w:tcPr>
          <w:p w14:paraId="2EA84E34" w14:textId="77777777" w:rsidR="009E1558" w:rsidRPr="00D210E4" w:rsidRDefault="009E1558" w:rsidP="00C71B51">
            <w:pPr>
              <w:widowControl w:val="0"/>
              <w:spacing w:line="240" w:lineRule="auto"/>
              <w:jc w:val="center"/>
              <w:rPr>
                <w:rFonts w:asciiTheme="majorHAnsi" w:eastAsia="Times New Roman" w:hAnsiTheme="majorHAnsi" w:cstheme="majorHAnsi"/>
                <w:b/>
              </w:rPr>
            </w:pPr>
            <w:r w:rsidRPr="00D210E4">
              <w:rPr>
                <w:rFonts w:asciiTheme="majorHAnsi" w:eastAsia="Times New Roman" w:hAnsiTheme="majorHAnsi" w:cstheme="majorHAnsi"/>
                <w:b/>
              </w:rPr>
              <w:t>Uniform Guidance General Reference</w:t>
            </w:r>
          </w:p>
        </w:tc>
        <w:tc>
          <w:tcPr>
            <w:tcW w:w="3930" w:type="dxa"/>
            <w:shd w:val="clear" w:color="auto" w:fill="D9D9D9"/>
            <w:tcMar>
              <w:top w:w="100" w:type="dxa"/>
              <w:left w:w="100" w:type="dxa"/>
              <w:bottom w:w="100" w:type="dxa"/>
              <w:right w:w="100" w:type="dxa"/>
            </w:tcMar>
          </w:tcPr>
          <w:p w14:paraId="09CCFA95" w14:textId="77777777" w:rsidR="009E1558" w:rsidRPr="00D210E4" w:rsidRDefault="009E1558" w:rsidP="00C71B51">
            <w:pPr>
              <w:widowControl w:val="0"/>
              <w:spacing w:line="240" w:lineRule="auto"/>
              <w:jc w:val="center"/>
              <w:rPr>
                <w:rFonts w:asciiTheme="majorHAnsi" w:eastAsia="Times New Roman" w:hAnsiTheme="majorHAnsi" w:cstheme="majorHAnsi"/>
                <w:b/>
              </w:rPr>
            </w:pPr>
            <w:r w:rsidRPr="00D210E4">
              <w:rPr>
                <w:rFonts w:asciiTheme="majorHAnsi" w:eastAsia="Times New Roman" w:hAnsiTheme="majorHAnsi" w:cstheme="majorHAnsi"/>
                <w:b/>
              </w:rPr>
              <w:t>Allowability</w:t>
            </w:r>
          </w:p>
        </w:tc>
      </w:tr>
      <w:tr w:rsidR="009E1558" w:rsidRPr="00635861" w14:paraId="4D8EE250" w14:textId="77777777" w:rsidTr="00C71B51">
        <w:trPr>
          <w:trHeight w:val="45"/>
        </w:trPr>
        <w:tc>
          <w:tcPr>
            <w:tcW w:w="3885" w:type="dxa"/>
            <w:shd w:val="clear" w:color="auto" w:fill="auto"/>
            <w:tcMar>
              <w:top w:w="100" w:type="dxa"/>
              <w:left w:w="100" w:type="dxa"/>
              <w:bottom w:w="100" w:type="dxa"/>
              <w:right w:w="100" w:type="dxa"/>
            </w:tcMar>
          </w:tcPr>
          <w:p w14:paraId="38D9A4EB"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Advertising and public relations costs </w:t>
            </w:r>
          </w:p>
        </w:tc>
        <w:tc>
          <w:tcPr>
            <w:tcW w:w="1905" w:type="dxa"/>
            <w:shd w:val="clear" w:color="auto" w:fill="auto"/>
            <w:tcMar>
              <w:top w:w="100" w:type="dxa"/>
              <w:left w:w="100" w:type="dxa"/>
              <w:bottom w:w="100" w:type="dxa"/>
              <w:right w:w="100" w:type="dxa"/>
            </w:tcMar>
          </w:tcPr>
          <w:p w14:paraId="109898DA"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200.421</w:t>
            </w:r>
          </w:p>
        </w:tc>
        <w:tc>
          <w:tcPr>
            <w:tcW w:w="3930" w:type="dxa"/>
            <w:shd w:val="clear" w:color="auto" w:fill="auto"/>
            <w:tcMar>
              <w:top w:w="100" w:type="dxa"/>
              <w:left w:w="100" w:type="dxa"/>
              <w:bottom w:w="100" w:type="dxa"/>
              <w:right w:w="100" w:type="dxa"/>
            </w:tcMar>
          </w:tcPr>
          <w:p w14:paraId="492C8FA1"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59AAF0C6" w14:textId="77777777" w:rsidTr="00C71B51">
        <w:tc>
          <w:tcPr>
            <w:tcW w:w="3885" w:type="dxa"/>
            <w:shd w:val="clear" w:color="auto" w:fill="auto"/>
            <w:tcMar>
              <w:top w:w="100" w:type="dxa"/>
              <w:left w:w="100" w:type="dxa"/>
              <w:bottom w:w="100" w:type="dxa"/>
              <w:right w:w="100" w:type="dxa"/>
            </w:tcMar>
          </w:tcPr>
          <w:p w14:paraId="7D8CF432"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Advisory councils </w:t>
            </w:r>
          </w:p>
        </w:tc>
        <w:tc>
          <w:tcPr>
            <w:tcW w:w="1905" w:type="dxa"/>
            <w:shd w:val="clear" w:color="auto" w:fill="auto"/>
            <w:tcMar>
              <w:top w:w="100" w:type="dxa"/>
              <w:left w:w="100" w:type="dxa"/>
              <w:bottom w:w="100" w:type="dxa"/>
              <w:right w:w="100" w:type="dxa"/>
            </w:tcMar>
          </w:tcPr>
          <w:p w14:paraId="238119E7"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200.422</w:t>
            </w:r>
          </w:p>
        </w:tc>
        <w:tc>
          <w:tcPr>
            <w:tcW w:w="3930" w:type="dxa"/>
            <w:shd w:val="clear" w:color="auto" w:fill="auto"/>
            <w:tcMar>
              <w:top w:w="100" w:type="dxa"/>
              <w:left w:w="100" w:type="dxa"/>
              <w:bottom w:w="100" w:type="dxa"/>
              <w:right w:w="100" w:type="dxa"/>
            </w:tcMar>
          </w:tcPr>
          <w:p w14:paraId="2ACB7096"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0ED577DD" w14:textId="77777777" w:rsidTr="00C71B51">
        <w:tc>
          <w:tcPr>
            <w:tcW w:w="3885" w:type="dxa"/>
            <w:shd w:val="clear" w:color="auto" w:fill="auto"/>
            <w:tcMar>
              <w:top w:w="100" w:type="dxa"/>
              <w:left w:w="100" w:type="dxa"/>
              <w:bottom w:w="100" w:type="dxa"/>
              <w:right w:w="100" w:type="dxa"/>
            </w:tcMar>
          </w:tcPr>
          <w:p w14:paraId="0DE3C44F"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Alcoholic beverages </w:t>
            </w:r>
          </w:p>
        </w:tc>
        <w:tc>
          <w:tcPr>
            <w:tcW w:w="1905" w:type="dxa"/>
            <w:shd w:val="clear" w:color="auto" w:fill="auto"/>
            <w:tcMar>
              <w:top w:w="100" w:type="dxa"/>
              <w:left w:w="100" w:type="dxa"/>
              <w:bottom w:w="100" w:type="dxa"/>
              <w:right w:w="100" w:type="dxa"/>
            </w:tcMar>
          </w:tcPr>
          <w:p w14:paraId="75EEBF25"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200.423</w:t>
            </w:r>
          </w:p>
        </w:tc>
        <w:tc>
          <w:tcPr>
            <w:tcW w:w="3930" w:type="dxa"/>
            <w:shd w:val="clear" w:color="auto" w:fill="auto"/>
            <w:tcMar>
              <w:top w:w="100" w:type="dxa"/>
              <w:left w:w="100" w:type="dxa"/>
              <w:bottom w:w="100" w:type="dxa"/>
              <w:right w:w="100" w:type="dxa"/>
            </w:tcMar>
          </w:tcPr>
          <w:p w14:paraId="6327F456"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Unallowable</w:t>
            </w:r>
          </w:p>
        </w:tc>
      </w:tr>
      <w:tr w:rsidR="009E1558" w:rsidRPr="00635861" w14:paraId="1AB7C405" w14:textId="77777777" w:rsidTr="00C71B51">
        <w:tc>
          <w:tcPr>
            <w:tcW w:w="3885" w:type="dxa"/>
            <w:shd w:val="clear" w:color="auto" w:fill="auto"/>
            <w:tcMar>
              <w:top w:w="100" w:type="dxa"/>
              <w:left w:w="100" w:type="dxa"/>
              <w:bottom w:w="100" w:type="dxa"/>
              <w:right w:w="100" w:type="dxa"/>
            </w:tcMar>
          </w:tcPr>
          <w:p w14:paraId="2E640CFD"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Alumni/ae activities </w:t>
            </w:r>
          </w:p>
        </w:tc>
        <w:tc>
          <w:tcPr>
            <w:tcW w:w="1905" w:type="dxa"/>
            <w:shd w:val="clear" w:color="auto" w:fill="auto"/>
            <w:tcMar>
              <w:top w:w="100" w:type="dxa"/>
              <w:left w:w="100" w:type="dxa"/>
              <w:bottom w:w="100" w:type="dxa"/>
              <w:right w:w="100" w:type="dxa"/>
            </w:tcMar>
          </w:tcPr>
          <w:p w14:paraId="4F530620"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200.424</w:t>
            </w:r>
          </w:p>
        </w:tc>
        <w:tc>
          <w:tcPr>
            <w:tcW w:w="3930" w:type="dxa"/>
            <w:shd w:val="clear" w:color="auto" w:fill="auto"/>
            <w:tcMar>
              <w:top w:w="100" w:type="dxa"/>
              <w:left w:w="100" w:type="dxa"/>
              <w:bottom w:w="100" w:type="dxa"/>
              <w:right w:w="100" w:type="dxa"/>
            </w:tcMar>
          </w:tcPr>
          <w:p w14:paraId="3F1EC6A7"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Not specifically addressed</w:t>
            </w:r>
          </w:p>
        </w:tc>
      </w:tr>
      <w:tr w:rsidR="009E1558" w:rsidRPr="00635861" w14:paraId="05C46D2D" w14:textId="77777777" w:rsidTr="00C71B51">
        <w:tc>
          <w:tcPr>
            <w:tcW w:w="3885" w:type="dxa"/>
            <w:shd w:val="clear" w:color="auto" w:fill="auto"/>
            <w:tcMar>
              <w:top w:w="100" w:type="dxa"/>
              <w:left w:w="100" w:type="dxa"/>
              <w:bottom w:w="100" w:type="dxa"/>
              <w:right w:w="100" w:type="dxa"/>
            </w:tcMar>
          </w:tcPr>
          <w:p w14:paraId="16E7B502"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Audit services </w:t>
            </w:r>
          </w:p>
        </w:tc>
        <w:tc>
          <w:tcPr>
            <w:tcW w:w="1905" w:type="dxa"/>
            <w:shd w:val="clear" w:color="auto" w:fill="auto"/>
            <w:tcMar>
              <w:top w:w="100" w:type="dxa"/>
              <w:left w:w="100" w:type="dxa"/>
              <w:bottom w:w="100" w:type="dxa"/>
              <w:right w:w="100" w:type="dxa"/>
            </w:tcMar>
          </w:tcPr>
          <w:p w14:paraId="5217C240"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200.425</w:t>
            </w:r>
          </w:p>
        </w:tc>
        <w:tc>
          <w:tcPr>
            <w:tcW w:w="3930" w:type="dxa"/>
            <w:shd w:val="clear" w:color="auto" w:fill="auto"/>
            <w:tcMar>
              <w:top w:w="100" w:type="dxa"/>
              <w:left w:w="100" w:type="dxa"/>
              <w:bottom w:w="100" w:type="dxa"/>
              <w:right w:w="100" w:type="dxa"/>
            </w:tcMar>
          </w:tcPr>
          <w:p w14:paraId="7483F7C0"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0B91F8B1" w14:textId="77777777" w:rsidTr="00C71B51">
        <w:tc>
          <w:tcPr>
            <w:tcW w:w="3885" w:type="dxa"/>
            <w:shd w:val="clear" w:color="auto" w:fill="auto"/>
            <w:tcMar>
              <w:top w:w="100" w:type="dxa"/>
              <w:left w:w="100" w:type="dxa"/>
              <w:bottom w:w="100" w:type="dxa"/>
              <w:right w:w="100" w:type="dxa"/>
            </w:tcMar>
          </w:tcPr>
          <w:p w14:paraId="5B9D0487"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Bad debts </w:t>
            </w:r>
          </w:p>
        </w:tc>
        <w:tc>
          <w:tcPr>
            <w:tcW w:w="1905" w:type="dxa"/>
            <w:shd w:val="clear" w:color="auto" w:fill="auto"/>
            <w:tcMar>
              <w:top w:w="100" w:type="dxa"/>
              <w:left w:w="100" w:type="dxa"/>
              <w:bottom w:w="100" w:type="dxa"/>
              <w:right w:w="100" w:type="dxa"/>
            </w:tcMar>
          </w:tcPr>
          <w:p w14:paraId="31C39D30"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200.426</w:t>
            </w:r>
          </w:p>
        </w:tc>
        <w:tc>
          <w:tcPr>
            <w:tcW w:w="3930" w:type="dxa"/>
            <w:shd w:val="clear" w:color="auto" w:fill="auto"/>
            <w:tcMar>
              <w:top w:w="100" w:type="dxa"/>
              <w:left w:w="100" w:type="dxa"/>
              <w:bottom w:w="100" w:type="dxa"/>
              <w:right w:w="100" w:type="dxa"/>
            </w:tcMar>
          </w:tcPr>
          <w:p w14:paraId="387214BA"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Unallowable</w:t>
            </w:r>
          </w:p>
        </w:tc>
      </w:tr>
      <w:tr w:rsidR="009E1558" w:rsidRPr="00635861" w14:paraId="678A2FEA" w14:textId="77777777" w:rsidTr="00C71B51">
        <w:tc>
          <w:tcPr>
            <w:tcW w:w="3885" w:type="dxa"/>
            <w:shd w:val="clear" w:color="auto" w:fill="auto"/>
            <w:tcMar>
              <w:top w:w="100" w:type="dxa"/>
              <w:left w:w="100" w:type="dxa"/>
              <w:bottom w:w="100" w:type="dxa"/>
              <w:right w:w="100" w:type="dxa"/>
            </w:tcMar>
          </w:tcPr>
          <w:p w14:paraId="79FE5EF6"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Bonding costs </w:t>
            </w:r>
          </w:p>
        </w:tc>
        <w:tc>
          <w:tcPr>
            <w:tcW w:w="1905" w:type="dxa"/>
            <w:shd w:val="clear" w:color="auto" w:fill="auto"/>
            <w:tcMar>
              <w:top w:w="100" w:type="dxa"/>
              <w:left w:w="100" w:type="dxa"/>
              <w:bottom w:w="100" w:type="dxa"/>
              <w:right w:w="100" w:type="dxa"/>
            </w:tcMar>
          </w:tcPr>
          <w:p w14:paraId="2E8DFA34"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200.427</w:t>
            </w:r>
          </w:p>
        </w:tc>
        <w:tc>
          <w:tcPr>
            <w:tcW w:w="3930" w:type="dxa"/>
            <w:shd w:val="clear" w:color="auto" w:fill="auto"/>
            <w:tcMar>
              <w:top w:w="100" w:type="dxa"/>
              <w:left w:w="100" w:type="dxa"/>
              <w:bottom w:w="100" w:type="dxa"/>
              <w:right w:w="100" w:type="dxa"/>
            </w:tcMar>
          </w:tcPr>
          <w:p w14:paraId="17C47A07"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451CB416" w14:textId="77777777" w:rsidTr="00C71B51">
        <w:tc>
          <w:tcPr>
            <w:tcW w:w="3885" w:type="dxa"/>
            <w:shd w:val="clear" w:color="auto" w:fill="auto"/>
            <w:tcMar>
              <w:top w:w="100" w:type="dxa"/>
              <w:left w:w="100" w:type="dxa"/>
              <w:bottom w:w="100" w:type="dxa"/>
              <w:right w:w="100" w:type="dxa"/>
            </w:tcMar>
          </w:tcPr>
          <w:p w14:paraId="3B5D07E3"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 xml:space="preserve">Collection of improper payments </w:t>
            </w:r>
          </w:p>
        </w:tc>
        <w:tc>
          <w:tcPr>
            <w:tcW w:w="1905" w:type="dxa"/>
            <w:shd w:val="clear" w:color="auto" w:fill="auto"/>
            <w:tcMar>
              <w:top w:w="100" w:type="dxa"/>
              <w:left w:w="100" w:type="dxa"/>
              <w:bottom w:w="100" w:type="dxa"/>
              <w:right w:w="100" w:type="dxa"/>
            </w:tcMar>
          </w:tcPr>
          <w:p w14:paraId="7B046E2C"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200.428</w:t>
            </w:r>
          </w:p>
        </w:tc>
        <w:tc>
          <w:tcPr>
            <w:tcW w:w="3930" w:type="dxa"/>
            <w:shd w:val="clear" w:color="auto" w:fill="auto"/>
            <w:tcMar>
              <w:top w:w="100" w:type="dxa"/>
              <w:left w:w="100" w:type="dxa"/>
              <w:bottom w:w="100" w:type="dxa"/>
              <w:right w:w="100" w:type="dxa"/>
            </w:tcMar>
          </w:tcPr>
          <w:p w14:paraId="74037E99"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Allowable</w:t>
            </w:r>
          </w:p>
        </w:tc>
      </w:tr>
      <w:tr w:rsidR="009E1558" w:rsidRPr="00635861" w14:paraId="6C8E6237" w14:textId="77777777" w:rsidTr="00C71B51">
        <w:tc>
          <w:tcPr>
            <w:tcW w:w="3885" w:type="dxa"/>
            <w:shd w:val="clear" w:color="auto" w:fill="auto"/>
            <w:tcMar>
              <w:top w:w="100" w:type="dxa"/>
              <w:left w:w="100" w:type="dxa"/>
              <w:bottom w:w="100" w:type="dxa"/>
              <w:right w:w="100" w:type="dxa"/>
            </w:tcMar>
          </w:tcPr>
          <w:p w14:paraId="7935773F"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 xml:space="preserve">Commencement and convocation costs </w:t>
            </w:r>
          </w:p>
        </w:tc>
        <w:tc>
          <w:tcPr>
            <w:tcW w:w="1905" w:type="dxa"/>
            <w:shd w:val="clear" w:color="auto" w:fill="auto"/>
            <w:tcMar>
              <w:top w:w="100" w:type="dxa"/>
              <w:left w:w="100" w:type="dxa"/>
              <w:bottom w:w="100" w:type="dxa"/>
              <w:right w:w="100" w:type="dxa"/>
            </w:tcMar>
          </w:tcPr>
          <w:p w14:paraId="132CA220"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200.429</w:t>
            </w:r>
          </w:p>
        </w:tc>
        <w:tc>
          <w:tcPr>
            <w:tcW w:w="3930" w:type="dxa"/>
            <w:shd w:val="clear" w:color="auto" w:fill="auto"/>
            <w:tcMar>
              <w:top w:w="100" w:type="dxa"/>
              <w:left w:w="100" w:type="dxa"/>
              <w:bottom w:w="100" w:type="dxa"/>
              <w:right w:w="100" w:type="dxa"/>
            </w:tcMar>
          </w:tcPr>
          <w:p w14:paraId="32547161"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Not specifically addressed</w:t>
            </w:r>
          </w:p>
        </w:tc>
      </w:tr>
      <w:tr w:rsidR="009E1558" w:rsidRPr="00635861" w14:paraId="2040A1A8" w14:textId="77777777" w:rsidTr="00C71B51">
        <w:tc>
          <w:tcPr>
            <w:tcW w:w="3885" w:type="dxa"/>
            <w:shd w:val="clear" w:color="auto" w:fill="auto"/>
            <w:tcMar>
              <w:top w:w="100" w:type="dxa"/>
              <w:left w:w="100" w:type="dxa"/>
              <w:bottom w:w="100" w:type="dxa"/>
              <w:right w:w="100" w:type="dxa"/>
            </w:tcMar>
          </w:tcPr>
          <w:p w14:paraId="2D5AB8DD"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 xml:space="preserve">Compensation – personal services </w:t>
            </w:r>
          </w:p>
        </w:tc>
        <w:tc>
          <w:tcPr>
            <w:tcW w:w="1905" w:type="dxa"/>
            <w:shd w:val="clear" w:color="auto" w:fill="auto"/>
            <w:tcMar>
              <w:top w:w="100" w:type="dxa"/>
              <w:left w:w="100" w:type="dxa"/>
              <w:bottom w:w="100" w:type="dxa"/>
              <w:right w:w="100" w:type="dxa"/>
            </w:tcMar>
          </w:tcPr>
          <w:p w14:paraId="0C72CAE2"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200.430</w:t>
            </w:r>
          </w:p>
        </w:tc>
        <w:tc>
          <w:tcPr>
            <w:tcW w:w="3930" w:type="dxa"/>
            <w:shd w:val="clear" w:color="auto" w:fill="auto"/>
            <w:tcMar>
              <w:top w:w="100" w:type="dxa"/>
              <w:left w:w="100" w:type="dxa"/>
              <w:bottom w:w="100" w:type="dxa"/>
              <w:right w:w="100" w:type="dxa"/>
            </w:tcMar>
          </w:tcPr>
          <w:p w14:paraId="2ADDF65A"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Special conditions apply (e.g., </w:t>
            </w:r>
            <w:r w:rsidRPr="00D210E4">
              <w:rPr>
                <w:rFonts w:asciiTheme="majorHAnsi" w:eastAsia="Times" w:hAnsiTheme="majorHAnsi" w:cstheme="majorHAnsi"/>
              </w:rPr>
              <w:t>§ 200.430(</w:t>
            </w:r>
            <w:proofErr w:type="spellStart"/>
            <w:r w:rsidRPr="00D210E4">
              <w:rPr>
                <w:rFonts w:asciiTheme="majorHAnsi" w:eastAsia="Times" w:hAnsiTheme="majorHAnsi" w:cstheme="majorHAnsi"/>
              </w:rPr>
              <w:t>i</w:t>
            </w:r>
            <w:proofErr w:type="spellEnd"/>
            <w:r w:rsidRPr="00D210E4">
              <w:rPr>
                <w:rFonts w:asciiTheme="majorHAnsi" w:eastAsia="Times" w:hAnsiTheme="majorHAnsi" w:cstheme="majorHAnsi"/>
              </w:rPr>
              <w:t>)(5))</w:t>
            </w:r>
          </w:p>
        </w:tc>
      </w:tr>
      <w:tr w:rsidR="009E1558" w:rsidRPr="00635861" w14:paraId="2516D08F" w14:textId="77777777" w:rsidTr="00C71B51">
        <w:tc>
          <w:tcPr>
            <w:tcW w:w="3885" w:type="dxa"/>
            <w:shd w:val="clear" w:color="auto" w:fill="auto"/>
            <w:tcMar>
              <w:top w:w="100" w:type="dxa"/>
              <w:left w:w="100" w:type="dxa"/>
              <w:bottom w:w="100" w:type="dxa"/>
              <w:right w:w="100" w:type="dxa"/>
            </w:tcMar>
          </w:tcPr>
          <w:p w14:paraId="6A865E07"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 xml:space="preserve">Compensation – fringe benefits </w:t>
            </w:r>
          </w:p>
        </w:tc>
        <w:tc>
          <w:tcPr>
            <w:tcW w:w="1905" w:type="dxa"/>
            <w:shd w:val="clear" w:color="auto" w:fill="auto"/>
            <w:tcMar>
              <w:top w:w="100" w:type="dxa"/>
              <w:left w:w="100" w:type="dxa"/>
              <w:bottom w:w="100" w:type="dxa"/>
              <w:right w:w="100" w:type="dxa"/>
            </w:tcMar>
          </w:tcPr>
          <w:p w14:paraId="3FD234FE"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200.431</w:t>
            </w:r>
          </w:p>
        </w:tc>
        <w:tc>
          <w:tcPr>
            <w:tcW w:w="3930" w:type="dxa"/>
            <w:shd w:val="clear" w:color="auto" w:fill="auto"/>
            <w:tcMar>
              <w:top w:w="100" w:type="dxa"/>
              <w:left w:w="100" w:type="dxa"/>
              <w:bottom w:w="100" w:type="dxa"/>
              <w:right w:w="100" w:type="dxa"/>
            </w:tcMar>
          </w:tcPr>
          <w:p w14:paraId="7E47D72D"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3190C17A" w14:textId="77777777" w:rsidTr="00C71B51">
        <w:tc>
          <w:tcPr>
            <w:tcW w:w="3885" w:type="dxa"/>
            <w:shd w:val="clear" w:color="auto" w:fill="auto"/>
            <w:tcMar>
              <w:top w:w="100" w:type="dxa"/>
              <w:left w:w="100" w:type="dxa"/>
              <w:bottom w:w="100" w:type="dxa"/>
              <w:right w:w="100" w:type="dxa"/>
            </w:tcMar>
          </w:tcPr>
          <w:p w14:paraId="774BD77C"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 xml:space="preserve">Conferences </w:t>
            </w:r>
          </w:p>
        </w:tc>
        <w:tc>
          <w:tcPr>
            <w:tcW w:w="1905" w:type="dxa"/>
            <w:shd w:val="clear" w:color="auto" w:fill="auto"/>
            <w:tcMar>
              <w:top w:w="100" w:type="dxa"/>
              <w:left w:w="100" w:type="dxa"/>
              <w:bottom w:w="100" w:type="dxa"/>
              <w:right w:w="100" w:type="dxa"/>
            </w:tcMar>
          </w:tcPr>
          <w:p w14:paraId="3396B293"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200.432</w:t>
            </w:r>
          </w:p>
        </w:tc>
        <w:tc>
          <w:tcPr>
            <w:tcW w:w="3930" w:type="dxa"/>
            <w:shd w:val="clear" w:color="auto" w:fill="auto"/>
            <w:tcMar>
              <w:top w:w="100" w:type="dxa"/>
              <w:left w:w="100" w:type="dxa"/>
              <w:bottom w:w="100" w:type="dxa"/>
              <w:right w:w="100" w:type="dxa"/>
            </w:tcMar>
          </w:tcPr>
          <w:p w14:paraId="374D7510"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2E4E0919" w14:textId="77777777" w:rsidTr="00C71B51">
        <w:tc>
          <w:tcPr>
            <w:tcW w:w="3885" w:type="dxa"/>
            <w:shd w:val="clear" w:color="auto" w:fill="auto"/>
            <w:tcMar>
              <w:top w:w="100" w:type="dxa"/>
              <w:left w:w="100" w:type="dxa"/>
              <w:bottom w:w="100" w:type="dxa"/>
              <w:right w:w="100" w:type="dxa"/>
            </w:tcMar>
          </w:tcPr>
          <w:p w14:paraId="195B36EB"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 xml:space="preserve">Contingency provisions </w:t>
            </w:r>
          </w:p>
        </w:tc>
        <w:tc>
          <w:tcPr>
            <w:tcW w:w="1905" w:type="dxa"/>
            <w:shd w:val="clear" w:color="auto" w:fill="auto"/>
            <w:tcMar>
              <w:top w:w="100" w:type="dxa"/>
              <w:left w:w="100" w:type="dxa"/>
              <w:bottom w:w="100" w:type="dxa"/>
              <w:right w:w="100" w:type="dxa"/>
            </w:tcMar>
          </w:tcPr>
          <w:p w14:paraId="5B56A7CA"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200.433</w:t>
            </w:r>
          </w:p>
        </w:tc>
        <w:tc>
          <w:tcPr>
            <w:tcW w:w="3930" w:type="dxa"/>
            <w:shd w:val="clear" w:color="auto" w:fill="auto"/>
            <w:tcMar>
              <w:top w:w="100" w:type="dxa"/>
              <w:left w:w="100" w:type="dxa"/>
              <w:bottom w:w="100" w:type="dxa"/>
              <w:right w:w="100" w:type="dxa"/>
            </w:tcMar>
          </w:tcPr>
          <w:p w14:paraId="266FE918"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Unallowable with exceptions</w:t>
            </w:r>
          </w:p>
        </w:tc>
      </w:tr>
      <w:tr w:rsidR="009E1558" w:rsidRPr="00635861" w14:paraId="7BADCC3A" w14:textId="77777777" w:rsidTr="00C71B51">
        <w:tc>
          <w:tcPr>
            <w:tcW w:w="3885" w:type="dxa"/>
            <w:shd w:val="clear" w:color="auto" w:fill="auto"/>
            <w:tcMar>
              <w:top w:w="100" w:type="dxa"/>
              <w:left w:w="100" w:type="dxa"/>
              <w:bottom w:w="100" w:type="dxa"/>
              <w:right w:w="100" w:type="dxa"/>
            </w:tcMar>
          </w:tcPr>
          <w:p w14:paraId="02BFD396"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 xml:space="preserve">Contributions and donations </w:t>
            </w:r>
          </w:p>
        </w:tc>
        <w:tc>
          <w:tcPr>
            <w:tcW w:w="1905" w:type="dxa"/>
            <w:shd w:val="clear" w:color="auto" w:fill="auto"/>
            <w:tcMar>
              <w:top w:w="100" w:type="dxa"/>
              <w:left w:w="100" w:type="dxa"/>
              <w:bottom w:w="100" w:type="dxa"/>
              <w:right w:w="100" w:type="dxa"/>
            </w:tcMar>
          </w:tcPr>
          <w:p w14:paraId="1424CA42"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200.434</w:t>
            </w:r>
          </w:p>
        </w:tc>
        <w:tc>
          <w:tcPr>
            <w:tcW w:w="3930" w:type="dxa"/>
            <w:shd w:val="clear" w:color="auto" w:fill="auto"/>
            <w:tcMar>
              <w:top w:w="100" w:type="dxa"/>
              <w:left w:w="100" w:type="dxa"/>
              <w:bottom w:w="100" w:type="dxa"/>
              <w:right w:w="100" w:type="dxa"/>
            </w:tcMar>
          </w:tcPr>
          <w:p w14:paraId="626FF242"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Unallowable (made by non-federal entity); not reimbursable but value may be used as cost sharing or matching (made to non-federal entity)</w:t>
            </w:r>
          </w:p>
        </w:tc>
      </w:tr>
      <w:tr w:rsidR="009E1558" w:rsidRPr="00635861" w14:paraId="079844AA" w14:textId="77777777" w:rsidTr="00C71B51">
        <w:tc>
          <w:tcPr>
            <w:tcW w:w="3885" w:type="dxa"/>
            <w:shd w:val="clear" w:color="auto" w:fill="auto"/>
            <w:tcMar>
              <w:top w:w="100" w:type="dxa"/>
              <w:left w:w="100" w:type="dxa"/>
              <w:bottom w:w="100" w:type="dxa"/>
              <w:right w:w="100" w:type="dxa"/>
            </w:tcMar>
          </w:tcPr>
          <w:p w14:paraId="5580CFBF" w14:textId="77777777" w:rsidR="009E1558" w:rsidRPr="00D210E4" w:rsidRDefault="009E1558" w:rsidP="00C71B51">
            <w:pPr>
              <w:widowControl w:val="0"/>
              <w:spacing w:line="229" w:lineRule="auto"/>
              <w:ind w:left="113" w:right="45" w:firstLine="2"/>
              <w:rPr>
                <w:rFonts w:asciiTheme="majorHAnsi" w:eastAsia="Times" w:hAnsiTheme="majorHAnsi" w:cstheme="majorHAnsi"/>
              </w:rPr>
            </w:pPr>
            <w:r w:rsidRPr="00D210E4">
              <w:rPr>
                <w:rFonts w:asciiTheme="majorHAnsi" w:eastAsia="Times" w:hAnsiTheme="majorHAnsi" w:cstheme="majorHAnsi"/>
              </w:rPr>
              <w:t xml:space="preserve">Defense and prosecution of criminal and civil proceedings, claims, appeals and </w:t>
            </w:r>
            <w:proofErr w:type="gramStart"/>
            <w:r w:rsidRPr="00D210E4">
              <w:rPr>
                <w:rFonts w:asciiTheme="majorHAnsi" w:eastAsia="Times" w:hAnsiTheme="majorHAnsi" w:cstheme="majorHAnsi"/>
              </w:rPr>
              <w:t xml:space="preserve">patent  </w:t>
            </w:r>
            <w:r w:rsidRPr="00D210E4">
              <w:rPr>
                <w:rFonts w:asciiTheme="majorHAnsi" w:eastAsia="Times" w:hAnsiTheme="majorHAnsi" w:cstheme="majorHAnsi"/>
              </w:rPr>
              <w:lastRenderedPageBreak/>
              <w:t>infringements</w:t>
            </w:r>
            <w:proofErr w:type="gramEnd"/>
          </w:p>
        </w:tc>
        <w:tc>
          <w:tcPr>
            <w:tcW w:w="1905" w:type="dxa"/>
            <w:shd w:val="clear" w:color="auto" w:fill="auto"/>
            <w:tcMar>
              <w:top w:w="100" w:type="dxa"/>
              <w:left w:w="100" w:type="dxa"/>
              <w:bottom w:w="100" w:type="dxa"/>
              <w:right w:w="100" w:type="dxa"/>
            </w:tcMar>
          </w:tcPr>
          <w:p w14:paraId="49AEA3D5"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lastRenderedPageBreak/>
              <w:t>2 CFR § 200.435</w:t>
            </w:r>
          </w:p>
        </w:tc>
        <w:tc>
          <w:tcPr>
            <w:tcW w:w="3930" w:type="dxa"/>
            <w:shd w:val="clear" w:color="auto" w:fill="auto"/>
            <w:tcMar>
              <w:top w:w="100" w:type="dxa"/>
              <w:left w:w="100" w:type="dxa"/>
              <w:bottom w:w="100" w:type="dxa"/>
              <w:right w:w="100" w:type="dxa"/>
            </w:tcMar>
          </w:tcPr>
          <w:p w14:paraId="4BD00D3A"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22E1C87C" w14:textId="77777777" w:rsidTr="00C71B51">
        <w:tc>
          <w:tcPr>
            <w:tcW w:w="3885" w:type="dxa"/>
            <w:shd w:val="clear" w:color="auto" w:fill="auto"/>
            <w:tcMar>
              <w:top w:w="100" w:type="dxa"/>
              <w:left w:w="100" w:type="dxa"/>
              <w:bottom w:w="100" w:type="dxa"/>
              <w:right w:w="100" w:type="dxa"/>
            </w:tcMar>
          </w:tcPr>
          <w:p w14:paraId="778ED205"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Depreciation </w:t>
            </w:r>
          </w:p>
        </w:tc>
        <w:tc>
          <w:tcPr>
            <w:tcW w:w="1905" w:type="dxa"/>
            <w:shd w:val="clear" w:color="auto" w:fill="auto"/>
            <w:tcMar>
              <w:top w:w="100" w:type="dxa"/>
              <w:left w:w="100" w:type="dxa"/>
              <w:bottom w:w="100" w:type="dxa"/>
              <w:right w:w="100" w:type="dxa"/>
            </w:tcMar>
          </w:tcPr>
          <w:p w14:paraId="3D1C06B9"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200.436</w:t>
            </w:r>
          </w:p>
        </w:tc>
        <w:tc>
          <w:tcPr>
            <w:tcW w:w="3930" w:type="dxa"/>
            <w:shd w:val="clear" w:color="auto" w:fill="auto"/>
            <w:tcMar>
              <w:top w:w="100" w:type="dxa"/>
              <w:left w:w="100" w:type="dxa"/>
              <w:bottom w:w="100" w:type="dxa"/>
              <w:right w:w="100" w:type="dxa"/>
            </w:tcMar>
          </w:tcPr>
          <w:p w14:paraId="773AB940"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Allowable with qualifications</w:t>
            </w:r>
          </w:p>
        </w:tc>
      </w:tr>
      <w:tr w:rsidR="009E1558" w:rsidRPr="00635861" w14:paraId="43BAEF40" w14:textId="77777777" w:rsidTr="00C71B51">
        <w:tc>
          <w:tcPr>
            <w:tcW w:w="3885" w:type="dxa"/>
            <w:shd w:val="clear" w:color="auto" w:fill="auto"/>
            <w:tcMar>
              <w:top w:w="100" w:type="dxa"/>
              <w:left w:w="100" w:type="dxa"/>
              <w:bottom w:w="100" w:type="dxa"/>
              <w:right w:w="100" w:type="dxa"/>
            </w:tcMar>
          </w:tcPr>
          <w:p w14:paraId="4AD4F6D1" w14:textId="77777777" w:rsidR="009E1558" w:rsidRPr="00D210E4" w:rsidRDefault="009E1558" w:rsidP="00C71B51">
            <w:pPr>
              <w:widowControl w:val="0"/>
              <w:spacing w:line="240" w:lineRule="auto"/>
              <w:ind w:left="115"/>
              <w:rPr>
                <w:rFonts w:asciiTheme="majorHAnsi" w:eastAsia="Times" w:hAnsiTheme="majorHAnsi" w:cstheme="majorHAnsi"/>
              </w:rPr>
            </w:pPr>
            <w:r w:rsidRPr="00D210E4">
              <w:rPr>
                <w:rFonts w:asciiTheme="majorHAnsi" w:eastAsia="Times" w:hAnsiTheme="majorHAnsi" w:cstheme="majorHAnsi"/>
              </w:rPr>
              <w:t xml:space="preserve">Employee health and welfare costs </w:t>
            </w:r>
          </w:p>
        </w:tc>
        <w:tc>
          <w:tcPr>
            <w:tcW w:w="1905" w:type="dxa"/>
            <w:shd w:val="clear" w:color="auto" w:fill="auto"/>
            <w:tcMar>
              <w:top w:w="100" w:type="dxa"/>
              <w:left w:w="100" w:type="dxa"/>
              <w:bottom w:w="100" w:type="dxa"/>
              <w:right w:w="100" w:type="dxa"/>
            </w:tcMar>
          </w:tcPr>
          <w:p w14:paraId="670D8B7C"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200.437</w:t>
            </w:r>
          </w:p>
        </w:tc>
        <w:tc>
          <w:tcPr>
            <w:tcW w:w="3930" w:type="dxa"/>
            <w:shd w:val="clear" w:color="auto" w:fill="auto"/>
            <w:tcMar>
              <w:top w:w="100" w:type="dxa"/>
              <w:left w:w="100" w:type="dxa"/>
              <w:bottom w:w="100" w:type="dxa"/>
              <w:right w:w="100" w:type="dxa"/>
            </w:tcMar>
          </w:tcPr>
          <w:p w14:paraId="0DAD12E7"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0DCBBFAF" w14:textId="77777777" w:rsidTr="00C71B51">
        <w:tc>
          <w:tcPr>
            <w:tcW w:w="3885" w:type="dxa"/>
            <w:shd w:val="clear" w:color="auto" w:fill="auto"/>
            <w:tcMar>
              <w:top w:w="100" w:type="dxa"/>
              <w:left w:w="100" w:type="dxa"/>
              <w:bottom w:w="100" w:type="dxa"/>
              <w:right w:w="100" w:type="dxa"/>
            </w:tcMar>
          </w:tcPr>
          <w:p w14:paraId="75794117" w14:textId="77777777" w:rsidR="009E1558" w:rsidRPr="00D210E4" w:rsidRDefault="009E1558" w:rsidP="00C71B51">
            <w:pPr>
              <w:widowControl w:val="0"/>
              <w:spacing w:line="240" w:lineRule="auto"/>
              <w:ind w:left="115"/>
              <w:rPr>
                <w:rFonts w:asciiTheme="majorHAnsi" w:eastAsia="Times" w:hAnsiTheme="majorHAnsi" w:cstheme="majorHAnsi"/>
              </w:rPr>
            </w:pPr>
            <w:r w:rsidRPr="00D210E4">
              <w:rPr>
                <w:rFonts w:asciiTheme="majorHAnsi" w:eastAsia="Times" w:hAnsiTheme="majorHAnsi" w:cstheme="majorHAnsi"/>
              </w:rPr>
              <w:t xml:space="preserve">Entertainment costs </w:t>
            </w:r>
          </w:p>
        </w:tc>
        <w:tc>
          <w:tcPr>
            <w:tcW w:w="1905" w:type="dxa"/>
            <w:shd w:val="clear" w:color="auto" w:fill="auto"/>
            <w:tcMar>
              <w:top w:w="100" w:type="dxa"/>
              <w:left w:w="100" w:type="dxa"/>
              <w:bottom w:w="100" w:type="dxa"/>
              <w:right w:w="100" w:type="dxa"/>
            </w:tcMar>
          </w:tcPr>
          <w:p w14:paraId="47C2FD33"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200.438</w:t>
            </w:r>
          </w:p>
        </w:tc>
        <w:tc>
          <w:tcPr>
            <w:tcW w:w="3930" w:type="dxa"/>
            <w:shd w:val="clear" w:color="auto" w:fill="auto"/>
            <w:tcMar>
              <w:top w:w="100" w:type="dxa"/>
              <w:left w:w="100" w:type="dxa"/>
              <w:bottom w:w="100" w:type="dxa"/>
              <w:right w:w="100" w:type="dxa"/>
            </w:tcMar>
          </w:tcPr>
          <w:p w14:paraId="1E787275"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Unallowable with exceptions</w:t>
            </w:r>
          </w:p>
        </w:tc>
      </w:tr>
      <w:tr w:rsidR="009E1558" w:rsidRPr="00635861" w14:paraId="79BF5D2E" w14:textId="77777777" w:rsidTr="00C71B51">
        <w:tc>
          <w:tcPr>
            <w:tcW w:w="3885" w:type="dxa"/>
            <w:shd w:val="clear" w:color="auto" w:fill="auto"/>
            <w:tcMar>
              <w:top w:w="100" w:type="dxa"/>
              <w:left w:w="100" w:type="dxa"/>
              <w:bottom w:w="100" w:type="dxa"/>
              <w:right w:w="100" w:type="dxa"/>
            </w:tcMar>
          </w:tcPr>
          <w:p w14:paraId="5C85537F" w14:textId="77777777" w:rsidR="009E1558" w:rsidRPr="00D210E4" w:rsidRDefault="009E1558" w:rsidP="00C71B51">
            <w:pPr>
              <w:widowControl w:val="0"/>
              <w:spacing w:line="240" w:lineRule="auto"/>
              <w:ind w:left="115"/>
              <w:rPr>
                <w:rFonts w:asciiTheme="majorHAnsi" w:eastAsia="Times" w:hAnsiTheme="majorHAnsi" w:cstheme="majorHAnsi"/>
              </w:rPr>
            </w:pPr>
            <w:r w:rsidRPr="00D210E4">
              <w:rPr>
                <w:rFonts w:asciiTheme="majorHAnsi" w:eastAsia="Times" w:hAnsiTheme="majorHAnsi" w:cstheme="majorHAnsi"/>
              </w:rPr>
              <w:t xml:space="preserve">Equipment and other capital expenditures </w:t>
            </w:r>
          </w:p>
        </w:tc>
        <w:tc>
          <w:tcPr>
            <w:tcW w:w="1905" w:type="dxa"/>
            <w:shd w:val="clear" w:color="auto" w:fill="auto"/>
            <w:tcMar>
              <w:top w:w="100" w:type="dxa"/>
              <w:left w:w="100" w:type="dxa"/>
              <w:bottom w:w="100" w:type="dxa"/>
              <w:right w:w="100" w:type="dxa"/>
            </w:tcMar>
          </w:tcPr>
          <w:p w14:paraId="01E10E73"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200.439</w:t>
            </w:r>
          </w:p>
        </w:tc>
        <w:tc>
          <w:tcPr>
            <w:tcW w:w="3930" w:type="dxa"/>
            <w:shd w:val="clear" w:color="auto" w:fill="auto"/>
            <w:tcMar>
              <w:top w:w="100" w:type="dxa"/>
              <w:left w:w="100" w:type="dxa"/>
              <w:bottom w:w="100" w:type="dxa"/>
              <w:right w:w="100" w:type="dxa"/>
            </w:tcMar>
          </w:tcPr>
          <w:p w14:paraId="31F4070D"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Allowability based on specific requirement</w:t>
            </w:r>
          </w:p>
        </w:tc>
      </w:tr>
      <w:tr w:rsidR="009E1558" w:rsidRPr="00635861" w14:paraId="21690230" w14:textId="77777777" w:rsidTr="00C71B51">
        <w:tc>
          <w:tcPr>
            <w:tcW w:w="3885" w:type="dxa"/>
            <w:shd w:val="clear" w:color="auto" w:fill="auto"/>
            <w:tcMar>
              <w:top w:w="100" w:type="dxa"/>
              <w:left w:w="100" w:type="dxa"/>
              <w:bottom w:w="100" w:type="dxa"/>
              <w:right w:w="100" w:type="dxa"/>
            </w:tcMar>
          </w:tcPr>
          <w:p w14:paraId="3D66AE4A" w14:textId="77777777" w:rsidR="009E1558" w:rsidRPr="00D210E4" w:rsidRDefault="009E1558" w:rsidP="00C71B51">
            <w:pPr>
              <w:widowControl w:val="0"/>
              <w:spacing w:line="240" w:lineRule="auto"/>
              <w:ind w:left="115"/>
              <w:rPr>
                <w:rFonts w:asciiTheme="majorHAnsi" w:eastAsia="Times" w:hAnsiTheme="majorHAnsi" w:cstheme="majorHAnsi"/>
              </w:rPr>
            </w:pPr>
            <w:r w:rsidRPr="00D210E4">
              <w:rPr>
                <w:rFonts w:asciiTheme="majorHAnsi" w:eastAsia="Times" w:hAnsiTheme="majorHAnsi" w:cstheme="majorHAnsi"/>
              </w:rPr>
              <w:t xml:space="preserve">Exchange rates </w:t>
            </w:r>
          </w:p>
        </w:tc>
        <w:tc>
          <w:tcPr>
            <w:tcW w:w="1905" w:type="dxa"/>
            <w:shd w:val="clear" w:color="auto" w:fill="auto"/>
            <w:tcMar>
              <w:top w:w="100" w:type="dxa"/>
              <w:left w:w="100" w:type="dxa"/>
              <w:bottom w:w="100" w:type="dxa"/>
              <w:right w:w="100" w:type="dxa"/>
            </w:tcMar>
          </w:tcPr>
          <w:p w14:paraId="27391B09"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200.440</w:t>
            </w:r>
          </w:p>
        </w:tc>
        <w:tc>
          <w:tcPr>
            <w:tcW w:w="3930" w:type="dxa"/>
            <w:shd w:val="clear" w:color="auto" w:fill="auto"/>
            <w:tcMar>
              <w:top w:w="100" w:type="dxa"/>
              <w:left w:w="100" w:type="dxa"/>
              <w:bottom w:w="100" w:type="dxa"/>
              <w:right w:w="100" w:type="dxa"/>
            </w:tcMar>
          </w:tcPr>
          <w:p w14:paraId="54CEED0E"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79560837" w14:textId="77777777" w:rsidTr="00C71B51">
        <w:tc>
          <w:tcPr>
            <w:tcW w:w="3885" w:type="dxa"/>
            <w:shd w:val="clear" w:color="auto" w:fill="auto"/>
            <w:tcMar>
              <w:top w:w="100" w:type="dxa"/>
              <w:left w:w="100" w:type="dxa"/>
              <w:bottom w:w="100" w:type="dxa"/>
              <w:right w:w="100" w:type="dxa"/>
            </w:tcMar>
          </w:tcPr>
          <w:p w14:paraId="5485A595" w14:textId="77777777" w:rsidR="009E1558" w:rsidRPr="00D210E4" w:rsidRDefault="009E1558" w:rsidP="00C71B51">
            <w:pPr>
              <w:widowControl w:val="0"/>
              <w:spacing w:line="240" w:lineRule="auto"/>
              <w:ind w:left="160"/>
              <w:rPr>
                <w:rFonts w:asciiTheme="majorHAnsi" w:eastAsia="Times" w:hAnsiTheme="majorHAnsi" w:cstheme="majorHAnsi"/>
              </w:rPr>
            </w:pPr>
            <w:r w:rsidRPr="00D210E4">
              <w:rPr>
                <w:rFonts w:asciiTheme="majorHAnsi" w:eastAsia="Times" w:hAnsiTheme="majorHAnsi" w:cstheme="majorHAnsi"/>
              </w:rPr>
              <w:t xml:space="preserve">Fines, penalties, </w:t>
            </w:r>
            <w:proofErr w:type="gramStart"/>
            <w:r w:rsidRPr="00D210E4">
              <w:rPr>
                <w:rFonts w:asciiTheme="majorHAnsi" w:eastAsia="Times" w:hAnsiTheme="majorHAnsi" w:cstheme="majorHAnsi"/>
              </w:rPr>
              <w:t>damages</w:t>
            </w:r>
            <w:proofErr w:type="gramEnd"/>
            <w:r w:rsidRPr="00D210E4">
              <w:rPr>
                <w:rFonts w:asciiTheme="majorHAnsi" w:eastAsia="Times" w:hAnsiTheme="majorHAnsi" w:cstheme="majorHAnsi"/>
              </w:rPr>
              <w:t xml:space="preserve"> and other settlements </w:t>
            </w:r>
          </w:p>
        </w:tc>
        <w:tc>
          <w:tcPr>
            <w:tcW w:w="1905" w:type="dxa"/>
            <w:shd w:val="clear" w:color="auto" w:fill="auto"/>
            <w:tcMar>
              <w:top w:w="100" w:type="dxa"/>
              <w:left w:w="100" w:type="dxa"/>
              <w:bottom w:w="100" w:type="dxa"/>
              <w:right w:w="100" w:type="dxa"/>
            </w:tcMar>
          </w:tcPr>
          <w:p w14:paraId="262E1D2C"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200.441</w:t>
            </w:r>
          </w:p>
        </w:tc>
        <w:tc>
          <w:tcPr>
            <w:tcW w:w="3930" w:type="dxa"/>
            <w:shd w:val="clear" w:color="auto" w:fill="auto"/>
            <w:tcMar>
              <w:top w:w="100" w:type="dxa"/>
              <w:left w:w="100" w:type="dxa"/>
              <w:bottom w:w="100" w:type="dxa"/>
              <w:right w:w="100" w:type="dxa"/>
            </w:tcMar>
          </w:tcPr>
          <w:p w14:paraId="5221E4DE"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Unallowable with exceptions</w:t>
            </w:r>
          </w:p>
        </w:tc>
      </w:tr>
      <w:tr w:rsidR="009E1558" w:rsidRPr="00635861" w14:paraId="0C666AA2" w14:textId="77777777" w:rsidTr="00C71B51">
        <w:tc>
          <w:tcPr>
            <w:tcW w:w="3885" w:type="dxa"/>
            <w:shd w:val="clear" w:color="auto" w:fill="auto"/>
            <w:tcMar>
              <w:top w:w="100" w:type="dxa"/>
              <w:left w:w="100" w:type="dxa"/>
              <w:bottom w:w="100" w:type="dxa"/>
              <w:right w:w="100" w:type="dxa"/>
            </w:tcMar>
          </w:tcPr>
          <w:p w14:paraId="74861193" w14:textId="77777777" w:rsidR="009E1558" w:rsidRPr="00D210E4" w:rsidRDefault="009E1558" w:rsidP="00C71B51">
            <w:pPr>
              <w:widowControl w:val="0"/>
              <w:spacing w:line="240" w:lineRule="auto"/>
              <w:ind w:left="160"/>
              <w:rPr>
                <w:rFonts w:asciiTheme="majorHAnsi" w:eastAsia="Times" w:hAnsiTheme="majorHAnsi" w:cstheme="majorHAnsi"/>
              </w:rPr>
            </w:pPr>
            <w:r w:rsidRPr="00D210E4">
              <w:rPr>
                <w:rFonts w:asciiTheme="majorHAnsi" w:eastAsia="Times" w:hAnsiTheme="majorHAnsi" w:cstheme="majorHAnsi"/>
              </w:rPr>
              <w:t xml:space="preserve">Fund raising and investment management costs </w:t>
            </w:r>
          </w:p>
        </w:tc>
        <w:tc>
          <w:tcPr>
            <w:tcW w:w="1905" w:type="dxa"/>
            <w:shd w:val="clear" w:color="auto" w:fill="auto"/>
            <w:tcMar>
              <w:top w:w="100" w:type="dxa"/>
              <w:left w:w="100" w:type="dxa"/>
              <w:bottom w:w="100" w:type="dxa"/>
              <w:right w:w="100" w:type="dxa"/>
            </w:tcMar>
          </w:tcPr>
          <w:p w14:paraId="565D2E4F"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200.442</w:t>
            </w:r>
          </w:p>
        </w:tc>
        <w:tc>
          <w:tcPr>
            <w:tcW w:w="3930" w:type="dxa"/>
            <w:shd w:val="clear" w:color="auto" w:fill="auto"/>
            <w:tcMar>
              <w:top w:w="100" w:type="dxa"/>
              <w:left w:w="100" w:type="dxa"/>
              <w:bottom w:w="100" w:type="dxa"/>
              <w:right w:w="100" w:type="dxa"/>
            </w:tcMar>
          </w:tcPr>
          <w:p w14:paraId="4FC67AEB"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Unallowable with exceptions</w:t>
            </w:r>
          </w:p>
        </w:tc>
      </w:tr>
      <w:tr w:rsidR="009E1558" w:rsidRPr="00635861" w14:paraId="13C95151" w14:textId="77777777" w:rsidTr="00C71B51">
        <w:tc>
          <w:tcPr>
            <w:tcW w:w="3885" w:type="dxa"/>
            <w:shd w:val="clear" w:color="auto" w:fill="auto"/>
            <w:tcMar>
              <w:top w:w="100" w:type="dxa"/>
              <w:left w:w="100" w:type="dxa"/>
              <w:bottom w:w="100" w:type="dxa"/>
              <w:right w:w="100" w:type="dxa"/>
            </w:tcMar>
          </w:tcPr>
          <w:p w14:paraId="5015737C" w14:textId="77777777" w:rsidR="009E1558" w:rsidRPr="00D210E4" w:rsidRDefault="009E1558" w:rsidP="00C71B51">
            <w:pPr>
              <w:widowControl w:val="0"/>
              <w:spacing w:line="229" w:lineRule="auto"/>
              <w:ind w:left="121" w:right="46" w:hanging="1"/>
              <w:rPr>
                <w:rFonts w:asciiTheme="majorHAnsi" w:eastAsia="Times" w:hAnsiTheme="majorHAnsi" w:cstheme="majorHAnsi"/>
              </w:rPr>
            </w:pPr>
            <w:r w:rsidRPr="00D210E4">
              <w:rPr>
                <w:rFonts w:asciiTheme="majorHAnsi" w:eastAsia="Times" w:hAnsiTheme="majorHAnsi" w:cstheme="majorHAnsi"/>
              </w:rPr>
              <w:t>Gains and losses on disposition of depreciable assets</w:t>
            </w:r>
          </w:p>
        </w:tc>
        <w:tc>
          <w:tcPr>
            <w:tcW w:w="1905" w:type="dxa"/>
            <w:shd w:val="clear" w:color="auto" w:fill="auto"/>
            <w:tcMar>
              <w:top w:w="100" w:type="dxa"/>
              <w:left w:w="100" w:type="dxa"/>
              <w:bottom w:w="100" w:type="dxa"/>
              <w:right w:w="100" w:type="dxa"/>
            </w:tcMar>
          </w:tcPr>
          <w:p w14:paraId="61FC4372"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200.443</w:t>
            </w:r>
          </w:p>
        </w:tc>
        <w:tc>
          <w:tcPr>
            <w:tcW w:w="3930" w:type="dxa"/>
            <w:shd w:val="clear" w:color="auto" w:fill="auto"/>
            <w:tcMar>
              <w:top w:w="100" w:type="dxa"/>
              <w:left w:w="100" w:type="dxa"/>
              <w:bottom w:w="100" w:type="dxa"/>
              <w:right w:w="100" w:type="dxa"/>
            </w:tcMar>
          </w:tcPr>
          <w:p w14:paraId="25B45FBB"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11D79760" w14:textId="77777777" w:rsidTr="00C71B51">
        <w:tc>
          <w:tcPr>
            <w:tcW w:w="3885" w:type="dxa"/>
            <w:shd w:val="clear" w:color="auto" w:fill="auto"/>
            <w:tcMar>
              <w:top w:w="100" w:type="dxa"/>
              <w:left w:w="100" w:type="dxa"/>
              <w:bottom w:w="100" w:type="dxa"/>
              <w:right w:w="100" w:type="dxa"/>
            </w:tcMar>
          </w:tcPr>
          <w:p w14:paraId="2D4155BC" w14:textId="77777777" w:rsidR="009E1558" w:rsidRPr="00D210E4" w:rsidRDefault="009E1558" w:rsidP="00C71B51">
            <w:pPr>
              <w:widowControl w:val="0"/>
              <w:spacing w:line="240" w:lineRule="auto"/>
              <w:ind w:left="120"/>
              <w:rPr>
                <w:rFonts w:asciiTheme="majorHAnsi" w:eastAsia="Times" w:hAnsiTheme="majorHAnsi" w:cstheme="majorHAnsi"/>
              </w:rPr>
            </w:pPr>
            <w:r w:rsidRPr="00D210E4">
              <w:rPr>
                <w:rFonts w:asciiTheme="majorHAnsi" w:eastAsia="Times" w:hAnsiTheme="majorHAnsi" w:cstheme="majorHAnsi"/>
              </w:rPr>
              <w:t xml:space="preserve">General costs of government </w:t>
            </w:r>
          </w:p>
        </w:tc>
        <w:tc>
          <w:tcPr>
            <w:tcW w:w="1905" w:type="dxa"/>
            <w:shd w:val="clear" w:color="auto" w:fill="auto"/>
            <w:tcMar>
              <w:top w:w="100" w:type="dxa"/>
              <w:left w:w="100" w:type="dxa"/>
              <w:bottom w:w="100" w:type="dxa"/>
              <w:right w:w="100" w:type="dxa"/>
            </w:tcMar>
          </w:tcPr>
          <w:p w14:paraId="3E82E7D0"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200.444</w:t>
            </w:r>
          </w:p>
        </w:tc>
        <w:tc>
          <w:tcPr>
            <w:tcW w:w="3930" w:type="dxa"/>
            <w:shd w:val="clear" w:color="auto" w:fill="auto"/>
            <w:tcMar>
              <w:top w:w="100" w:type="dxa"/>
              <w:left w:w="100" w:type="dxa"/>
              <w:bottom w:w="100" w:type="dxa"/>
              <w:right w:w="100" w:type="dxa"/>
            </w:tcMar>
          </w:tcPr>
          <w:p w14:paraId="3F03DA39"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Unallowable with exceptions</w:t>
            </w:r>
          </w:p>
        </w:tc>
      </w:tr>
      <w:tr w:rsidR="009E1558" w:rsidRPr="00635861" w14:paraId="6F51CC0D" w14:textId="77777777" w:rsidTr="00C71B51">
        <w:tc>
          <w:tcPr>
            <w:tcW w:w="3885" w:type="dxa"/>
            <w:shd w:val="clear" w:color="auto" w:fill="auto"/>
            <w:tcMar>
              <w:top w:w="100" w:type="dxa"/>
              <w:left w:w="100" w:type="dxa"/>
              <w:bottom w:w="100" w:type="dxa"/>
              <w:right w:w="100" w:type="dxa"/>
            </w:tcMar>
          </w:tcPr>
          <w:p w14:paraId="16D6E91D" w14:textId="77777777" w:rsidR="009E1558" w:rsidRPr="00D210E4" w:rsidRDefault="009E1558" w:rsidP="00C71B51">
            <w:pPr>
              <w:widowControl w:val="0"/>
              <w:spacing w:line="240" w:lineRule="auto"/>
              <w:ind w:left="120"/>
              <w:rPr>
                <w:rFonts w:asciiTheme="majorHAnsi" w:eastAsia="Times" w:hAnsiTheme="majorHAnsi" w:cstheme="majorHAnsi"/>
              </w:rPr>
            </w:pPr>
            <w:r w:rsidRPr="00D210E4">
              <w:rPr>
                <w:rFonts w:asciiTheme="majorHAnsi" w:eastAsia="Times" w:hAnsiTheme="majorHAnsi" w:cstheme="majorHAnsi"/>
              </w:rPr>
              <w:t xml:space="preserve">Goods and services for personal use </w:t>
            </w:r>
          </w:p>
        </w:tc>
        <w:tc>
          <w:tcPr>
            <w:tcW w:w="1905" w:type="dxa"/>
            <w:shd w:val="clear" w:color="auto" w:fill="auto"/>
            <w:tcMar>
              <w:top w:w="100" w:type="dxa"/>
              <w:left w:w="100" w:type="dxa"/>
              <w:bottom w:w="100" w:type="dxa"/>
              <w:right w:w="100" w:type="dxa"/>
            </w:tcMar>
          </w:tcPr>
          <w:p w14:paraId="4DB9A998"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200.445</w:t>
            </w:r>
          </w:p>
        </w:tc>
        <w:tc>
          <w:tcPr>
            <w:tcW w:w="3930" w:type="dxa"/>
            <w:shd w:val="clear" w:color="auto" w:fill="auto"/>
            <w:tcMar>
              <w:top w:w="100" w:type="dxa"/>
              <w:left w:w="100" w:type="dxa"/>
              <w:bottom w:w="100" w:type="dxa"/>
              <w:right w:w="100" w:type="dxa"/>
            </w:tcMar>
          </w:tcPr>
          <w:p w14:paraId="66ABFE90"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Unallowable (goods/services); allowable (housing) with restrictions</w:t>
            </w:r>
          </w:p>
        </w:tc>
      </w:tr>
      <w:tr w:rsidR="009E1558" w:rsidRPr="00635861" w14:paraId="5296DC23" w14:textId="77777777" w:rsidTr="00C71B51">
        <w:tc>
          <w:tcPr>
            <w:tcW w:w="3885" w:type="dxa"/>
            <w:shd w:val="clear" w:color="auto" w:fill="auto"/>
            <w:tcMar>
              <w:top w:w="100" w:type="dxa"/>
              <w:left w:w="100" w:type="dxa"/>
              <w:bottom w:w="100" w:type="dxa"/>
              <w:right w:w="100" w:type="dxa"/>
            </w:tcMar>
          </w:tcPr>
          <w:p w14:paraId="300E0496" w14:textId="77777777" w:rsidR="009E1558" w:rsidRPr="00D210E4" w:rsidRDefault="009E1558" w:rsidP="00C71B51">
            <w:pPr>
              <w:widowControl w:val="0"/>
              <w:spacing w:line="240" w:lineRule="auto"/>
              <w:ind w:left="117"/>
              <w:rPr>
                <w:rFonts w:asciiTheme="majorHAnsi" w:eastAsia="Times" w:hAnsiTheme="majorHAnsi" w:cstheme="majorHAnsi"/>
              </w:rPr>
            </w:pPr>
            <w:r w:rsidRPr="00D210E4">
              <w:rPr>
                <w:rFonts w:asciiTheme="majorHAnsi" w:eastAsia="Times" w:hAnsiTheme="majorHAnsi" w:cstheme="majorHAnsi"/>
              </w:rPr>
              <w:t xml:space="preserve">Idle facilities and idle capacity </w:t>
            </w:r>
          </w:p>
        </w:tc>
        <w:tc>
          <w:tcPr>
            <w:tcW w:w="1905" w:type="dxa"/>
            <w:shd w:val="clear" w:color="auto" w:fill="auto"/>
            <w:tcMar>
              <w:top w:w="100" w:type="dxa"/>
              <w:left w:w="100" w:type="dxa"/>
              <w:bottom w:w="100" w:type="dxa"/>
              <w:right w:w="100" w:type="dxa"/>
            </w:tcMar>
          </w:tcPr>
          <w:p w14:paraId="24D2BDB2"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200.446</w:t>
            </w:r>
          </w:p>
        </w:tc>
        <w:tc>
          <w:tcPr>
            <w:tcW w:w="3930" w:type="dxa"/>
            <w:shd w:val="clear" w:color="auto" w:fill="auto"/>
            <w:tcMar>
              <w:top w:w="100" w:type="dxa"/>
              <w:left w:w="100" w:type="dxa"/>
              <w:bottom w:w="100" w:type="dxa"/>
              <w:right w:w="100" w:type="dxa"/>
            </w:tcMar>
          </w:tcPr>
          <w:p w14:paraId="43C408EA"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Idle facilities - unallowable with exceptions; Idle capacity - allowable with restrictions </w:t>
            </w:r>
          </w:p>
        </w:tc>
      </w:tr>
      <w:tr w:rsidR="009E1558" w:rsidRPr="00635861" w14:paraId="11D41E28" w14:textId="77777777" w:rsidTr="00C71B51">
        <w:tc>
          <w:tcPr>
            <w:tcW w:w="3885" w:type="dxa"/>
            <w:shd w:val="clear" w:color="auto" w:fill="auto"/>
            <w:tcMar>
              <w:top w:w="100" w:type="dxa"/>
              <w:left w:w="100" w:type="dxa"/>
              <w:bottom w:w="100" w:type="dxa"/>
              <w:right w:w="100" w:type="dxa"/>
            </w:tcMar>
          </w:tcPr>
          <w:p w14:paraId="00881079" w14:textId="77777777" w:rsidR="009E1558" w:rsidRPr="00D210E4" w:rsidRDefault="009E1558" w:rsidP="00C71B51">
            <w:pPr>
              <w:widowControl w:val="0"/>
              <w:spacing w:line="240" w:lineRule="auto"/>
              <w:ind w:left="117"/>
              <w:rPr>
                <w:rFonts w:asciiTheme="majorHAnsi" w:eastAsia="Times" w:hAnsiTheme="majorHAnsi" w:cstheme="majorHAnsi"/>
              </w:rPr>
            </w:pPr>
            <w:r w:rsidRPr="00D210E4">
              <w:rPr>
                <w:rFonts w:asciiTheme="majorHAnsi" w:eastAsia="Times" w:hAnsiTheme="majorHAnsi" w:cstheme="majorHAnsi"/>
              </w:rPr>
              <w:t xml:space="preserve">Insurance and indemnification </w:t>
            </w:r>
          </w:p>
        </w:tc>
        <w:tc>
          <w:tcPr>
            <w:tcW w:w="1905" w:type="dxa"/>
            <w:shd w:val="clear" w:color="auto" w:fill="auto"/>
            <w:tcMar>
              <w:top w:w="100" w:type="dxa"/>
              <w:left w:w="100" w:type="dxa"/>
              <w:bottom w:w="100" w:type="dxa"/>
              <w:right w:w="100" w:type="dxa"/>
            </w:tcMar>
          </w:tcPr>
          <w:p w14:paraId="7EEC98B1"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200.447</w:t>
            </w:r>
          </w:p>
        </w:tc>
        <w:tc>
          <w:tcPr>
            <w:tcW w:w="3930" w:type="dxa"/>
            <w:shd w:val="clear" w:color="auto" w:fill="auto"/>
            <w:tcMar>
              <w:top w:w="100" w:type="dxa"/>
              <w:left w:w="100" w:type="dxa"/>
              <w:bottom w:w="100" w:type="dxa"/>
              <w:right w:w="100" w:type="dxa"/>
            </w:tcMar>
          </w:tcPr>
          <w:p w14:paraId="55AABAFB"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7EFE54A6" w14:textId="77777777" w:rsidTr="00C71B51">
        <w:tc>
          <w:tcPr>
            <w:tcW w:w="3885" w:type="dxa"/>
            <w:shd w:val="clear" w:color="auto" w:fill="auto"/>
            <w:tcMar>
              <w:top w:w="100" w:type="dxa"/>
              <w:left w:w="100" w:type="dxa"/>
              <w:bottom w:w="100" w:type="dxa"/>
              <w:right w:w="100" w:type="dxa"/>
            </w:tcMar>
          </w:tcPr>
          <w:p w14:paraId="11959863" w14:textId="77777777" w:rsidR="009E1558" w:rsidRPr="00D210E4" w:rsidRDefault="009E1558" w:rsidP="00C71B51">
            <w:pPr>
              <w:widowControl w:val="0"/>
              <w:spacing w:line="240" w:lineRule="auto"/>
              <w:ind w:left="117"/>
              <w:rPr>
                <w:rFonts w:asciiTheme="majorHAnsi" w:eastAsia="Times" w:hAnsiTheme="majorHAnsi" w:cstheme="majorHAnsi"/>
              </w:rPr>
            </w:pPr>
            <w:r w:rsidRPr="00D210E4">
              <w:rPr>
                <w:rFonts w:asciiTheme="majorHAnsi" w:eastAsia="Times" w:hAnsiTheme="majorHAnsi" w:cstheme="majorHAnsi"/>
              </w:rPr>
              <w:t xml:space="preserve">Intellectual property </w:t>
            </w:r>
          </w:p>
        </w:tc>
        <w:tc>
          <w:tcPr>
            <w:tcW w:w="1905" w:type="dxa"/>
            <w:shd w:val="clear" w:color="auto" w:fill="auto"/>
            <w:tcMar>
              <w:top w:w="100" w:type="dxa"/>
              <w:left w:w="100" w:type="dxa"/>
              <w:bottom w:w="100" w:type="dxa"/>
              <w:right w:w="100" w:type="dxa"/>
            </w:tcMar>
          </w:tcPr>
          <w:p w14:paraId="3303B5C1"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200.448</w:t>
            </w:r>
          </w:p>
        </w:tc>
        <w:tc>
          <w:tcPr>
            <w:tcW w:w="3930" w:type="dxa"/>
            <w:shd w:val="clear" w:color="auto" w:fill="auto"/>
            <w:tcMar>
              <w:top w:w="100" w:type="dxa"/>
              <w:left w:w="100" w:type="dxa"/>
              <w:bottom w:w="100" w:type="dxa"/>
              <w:right w:w="100" w:type="dxa"/>
            </w:tcMar>
          </w:tcPr>
          <w:p w14:paraId="306071E6"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3F6F840E" w14:textId="77777777" w:rsidTr="00C71B51">
        <w:tc>
          <w:tcPr>
            <w:tcW w:w="3885" w:type="dxa"/>
            <w:shd w:val="clear" w:color="auto" w:fill="auto"/>
            <w:tcMar>
              <w:top w:w="100" w:type="dxa"/>
              <w:left w:w="100" w:type="dxa"/>
              <w:bottom w:w="100" w:type="dxa"/>
              <w:right w:w="100" w:type="dxa"/>
            </w:tcMar>
          </w:tcPr>
          <w:p w14:paraId="7E026B2C" w14:textId="77777777" w:rsidR="009E1558" w:rsidRPr="00D210E4" w:rsidRDefault="009E1558" w:rsidP="00C71B51">
            <w:pPr>
              <w:widowControl w:val="0"/>
              <w:spacing w:line="240" w:lineRule="auto"/>
              <w:ind w:left="117"/>
              <w:rPr>
                <w:rFonts w:asciiTheme="majorHAnsi" w:eastAsia="Times" w:hAnsiTheme="majorHAnsi" w:cstheme="majorHAnsi"/>
              </w:rPr>
            </w:pPr>
            <w:r w:rsidRPr="00D210E4">
              <w:rPr>
                <w:rFonts w:asciiTheme="majorHAnsi" w:eastAsia="Times" w:hAnsiTheme="majorHAnsi" w:cstheme="majorHAnsi"/>
              </w:rPr>
              <w:t xml:space="preserve">Interest </w:t>
            </w:r>
          </w:p>
        </w:tc>
        <w:tc>
          <w:tcPr>
            <w:tcW w:w="1905" w:type="dxa"/>
            <w:shd w:val="clear" w:color="auto" w:fill="auto"/>
            <w:tcMar>
              <w:top w:w="100" w:type="dxa"/>
              <w:left w:w="100" w:type="dxa"/>
              <w:bottom w:w="100" w:type="dxa"/>
              <w:right w:w="100" w:type="dxa"/>
            </w:tcMar>
          </w:tcPr>
          <w:p w14:paraId="3DD67564"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200.449</w:t>
            </w:r>
          </w:p>
        </w:tc>
        <w:tc>
          <w:tcPr>
            <w:tcW w:w="3930" w:type="dxa"/>
            <w:shd w:val="clear" w:color="auto" w:fill="auto"/>
            <w:tcMar>
              <w:top w:w="100" w:type="dxa"/>
              <w:left w:w="100" w:type="dxa"/>
              <w:bottom w:w="100" w:type="dxa"/>
              <w:right w:w="100" w:type="dxa"/>
            </w:tcMar>
          </w:tcPr>
          <w:p w14:paraId="67624149"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60FFEB21" w14:textId="77777777" w:rsidTr="00C71B51">
        <w:tc>
          <w:tcPr>
            <w:tcW w:w="3885" w:type="dxa"/>
            <w:shd w:val="clear" w:color="auto" w:fill="auto"/>
            <w:tcMar>
              <w:top w:w="100" w:type="dxa"/>
              <w:left w:w="100" w:type="dxa"/>
              <w:bottom w:w="100" w:type="dxa"/>
              <w:right w:w="100" w:type="dxa"/>
            </w:tcMar>
          </w:tcPr>
          <w:p w14:paraId="3429F490" w14:textId="77777777" w:rsidR="009E1558" w:rsidRPr="00D210E4" w:rsidRDefault="009E1558" w:rsidP="00C71B51">
            <w:pPr>
              <w:widowControl w:val="0"/>
              <w:spacing w:line="240" w:lineRule="auto"/>
              <w:ind w:left="115"/>
              <w:rPr>
                <w:rFonts w:asciiTheme="majorHAnsi" w:eastAsia="Times" w:hAnsiTheme="majorHAnsi" w:cstheme="majorHAnsi"/>
              </w:rPr>
            </w:pPr>
            <w:r w:rsidRPr="00D210E4">
              <w:rPr>
                <w:rFonts w:asciiTheme="majorHAnsi" w:eastAsia="Times" w:hAnsiTheme="majorHAnsi" w:cstheme="majorHAnsi"/>
              </w:rPr>
              <w:t xml:space="preserve">Lobbying </w:t>
            </w:r>
          </w:p>
        </w:tc>
        <w:tc>
          <w:tcPr>
            <w:tcW w:w="1905" w:type="dxa"/>
            <w:shd w:val="clear" w:color="auto" w:fill="auto"/>
            <w:tcMar>
              <w:top w:w="100" w:type="dxa"/>
              <w:left w:w="100" w:type="dxa"/>
              <w:bottom w:w="100" w:type="dxa"/>
              <w:right w:w="100" w:type="dxa"/>
            </w:tcMar>
          </w:tcPr>
          <w:p w14:paraId="48980C3B"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200.450</w:t>
            </w:r>
          </w:p>
        </w:tc>
        <w:tc>
          <w:tcPr>
            <w:tcW w:w="3930" w:type="dxa"/>
            <w:shd w:val="clear" w:color="auto" w:fill="auto"/>
            <w:tcMar>
              <w:top w:w="100" w:type="dxa"/>
              <w:left w:w="100" w:type="dxa"/>
              <w:bottom w:w="100" w:type="dxa"/>
              <w:right w:w="100" w:type="dxa"/>
            </w:tcMar>
          </w:tcPr>
          <w:p w14:paraId="0C1A1E0F"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Unallowable</w:t>
            </w:r>
          </w:p>
        </w:tc>
      </w:tr>
      <w:tr w:rsidR="009E1558" w:rsidRPr="00635861" w14:paraId="584831DA" w14:textId="77777777" w:rsidTr="00C71B51">
        <w:tc>
          <w:tcPr>
            <w:tcW w:w="3885" w:type="dxa"/>
            <w:shd w:val="clear" w:color="auto" w:fill="auto"/>
            <w:tcMar>
              <w:top w:w="100" w:type="dxa"/>
              <w:left w:w="100" w:type="dxa"/>
              <w:bottom w:w="100" w:type="dxa"/>
              <w:right w:w="100" w:type="dxa"/>
            </w:tcMar>
          </w:tcPr>
          <w:p w14:paraId="54EC4E58" w14:textId="77777777" w:rsidR="009E1558" w:rsidRPr="00D210E4" w:rsidRDefault="009E1558" w:rsidP="00C71B51">
            <w:pPr>
              <w:widowControl w:val="0"/>
              <w:spacing w:line="240" w:lineRule="auto"/>
              <w:ind w:left="115"/>
              <w:rPr>
                <w:rFonts w:asciiTheme="majorHAnsi" w:eastAsia="Times" w:hAnsiTheme="majorHAnsi" w:cstheme="majorHAnsi"/>
              </w:rPr>
            </w:pPr>
            <w:r w:rsidRPr="00D210E4">
              <w:rPr>
                <w:rFonts w:asciiTheme="majorHAnsi" w:eastAsia="Times" w:hAnsiTheme="majorHAnsi" w:cstheme="majorHAnsi"/>
              </w:rPr>
              <w:t xml:space="preserve">Losses on other awards or contracts </w:t>
            </w:r>
          </w:p>
        </w:tc>
        <w:tc>
          <w:tcPr>
            <w:tcW w:w="1905" w:type="dxa"/>
            <w:shd w:val="clear" w:color="auto" w:fill="auto"/>
            <w:tcMar>
              <w:top w:w="100" w:type="dxa"/>
              <w:left w:w="100" w:type="dxa"/>
              <w:bottom w:w="100" w:type="dxa"/>
              <w:right w:w="100" w:type="dxa"/>
            </w:tcMar>
          </w:tcPr>
          <w:p w14:paraId="08865B64"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200.451</w:t>
            </w:r>
          </w:p>
        </w:tc>
        <w:tc>
          <w:tcPr>
            <w:tcW w:w="3930" w:type="dxa"/>
            <w:shd w:val="clear" w:color="auto" w:fill="auto"/>
            <w:tcMar>
              <w:top w:w="100" w:type="dxa"/>
              <w:left w:w="100" w:type="dxa"/>
              <w:bottom w:w="100" w:type="dxa"/>
              <w:right w:w="100" w:type="dxa"/>
            </w:tcMar>
          </w:tcPr>
          <w:p w14:paraId="256CC181"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Unallowable (however, they are required to be included in the indirect cost rate base for </w:t>
            </w:r>
            <w:r w:rsidRPr="00D210E4">
              <w:rPr>
                <w:rFonts w:asciiTheme="majorHAnsi" w:eastAsia="Times New Roman" w:hAnsiTheme="majorHAnsi" w:cstheme="majorHAnsi"/>
              </w:rPr>
              <w:lastRenderedPageBreak/>
              <w:t>allocation of indirect costs)</w:t>
            </w:r>
          </w:p>
        </w:tc>
      </w:tr>
      <w:tr w:rsidR="009E1558" w:rsidRPr="00635861" w14:paraId="0B8D4A5A" w14:textId="77777777" w:rsidTr="00C71B51">
        <w:tc>
          <w:tcPr>
            <w:tcW w:w="3885" w:type="dxa"/>
            <w:shd w:val="clear" w:color="auto" w:fill="auto"/>
            <w:tcMar>
              <w:top w:w="100" w:type="dxa"/>
              <w:left w:w="100" w:type="dxa"/>
              <w:bottom w:w="100" w:type="dxa"/>
              <w:right w:w="100" w:type="dxa"/>
            </w:tcMar>
          </w:tcPr>
          <w:p w14:paraId="64AD56AE" w14:textId="77777777" w:rsidR="009E1558" w:rsidRPr="00D210E4" w:rsidRDefault="009E1558" w:rsidP="00C71B51">
            <w:pPr>
              <w:widowControl w:val="0"/>
              <w:spacing w:line="240" w:lineRule="auto"/>
              <w:ind w:left="115"/>
              <w:rPr>
                <w:rFonts w:asciiTheme="majorHAnsi" w:eastAsia="Times" w:hAnsiTheme="majorHAnsi" w:cstheme="majorHAnsi"/>
              </w:rPr>
            </w:pPr>
            <w:r w:rsidRPr="00D210E4">
              <w:rPr>
                <w:rFonts w:asciiTheme="majorHAnsi" w:eastAsia="Times" w:hAnsiTheme="majorHAnsi" w:cstheme="majorHAnsi"/>
              </w:rPr>
              <w:lastRenderedPageBreak/>
              <w:t xml:space="preserve">Maintenance and repair costs </w:t>
            </w:r>
          </w:p>
        </w:tc>
        <w:tc>
          <w:tcPr>
            <w:tcW w:w="1905" w:type="dxa"/>
            <w:shd w:val="clear" w:color="auto" w:fill="auto"/>
            <w:tcMar>
              <w:top w:w="100" w:type="dxa"/>
              <w:left w:w="100" w:type="dxa"/>
              <w:bottom w:w="100" w:type="dxa"/>
              <w:right w:w="100" w:type="dxa"/>
            </w:tcMar>
          </w:tcPr>
          <w:p w14:paraId="68E32CEC"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200.452</w:t>
            </w:r>
          </w:p>
        </w:tc>
        <w:tc>
          <w:tcPr>
            <w:tcW w:w="3930" w:type="dxa"/>
            <w:shd w:val="clear" w:color="auto" w:fill="auto"/>
            <w:tcMar>
              <w:top w:w="100" w:type="dxa"/>
              <w:left w:w="100" w:type="dxa"/>
              <w:bottom w:w="100" w:type="dxa"/>
              <w:right w:w="100" w:type="dxa"/>
            </w:tcMar>
          </w:tcPr>
          <w:p w14:paraId="6E3F4029"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425D30DB" w14:textId="77777777" w:rsidTr="00C71B51">
        <w:tc>
          <w:tcPr>
            <w:tcW w:w="3885" w:type="dxa"/>
            <w:shd w:val="clear" w:color="auto" w:fill="auto"/>
            <w:tcMar>
              <w:top w:w="100" w:type="dxa"/>
              <w:left w:w="100" w:type="dxa"/>
              <w:bottom w:w="100" w:type="dxa"/>
              <w:right w:w="100" w:type="dxa"/>
            </w:tcMar>
          </w:tcPr>
          <w:p w14:paraId="466A1013" w14:textId="77777777" w:rsidR="009E1558" w:rsidRPr="00D210E4" w:rsidRDefault="009E1558" w:rsidP="00C71B51">
            <w:pPr>
              <w:widowControl w:val="0"/>
              <w:spacing w:line="229" w:lineRule="auto"/>
              <w:ind w:left="118" w:right="46" w:hanging="3"/>
              <w:rPr>
                <w:rFonts w:asciiTheme="majorHAnsi" w:eastAsia="Times" w:hAnsiTheme="majorHAnsi" w:cstheme="majorHAnsi"/>
              </w:rPr>
            </w:pPr>
            <w:r w:rsidRPr="00D210E4">
              <w:rPr>
                <w:rFonts w:asciiTheme="majorHAnsi" w:eastAsia="Times" w:hAnsiTheme="majorHAnsi" w:cstheme="majorHAnsi"/>
              </w:rPr>
              <w:t xml:space="preserve">Materials and supplies costs, including costs of computing devices </w:t>
            </w:r>
          </w:p>
        </w:tc>
        <w:tc>
          <w:tcPr>
            <w:tcW w:w="1905" w:type="dxa"/>
            <w:shd w:val="clear" w:color="auto" w:fill="auto"/>
            <w:tcMar>
              <w:top w:w="100" w:type="dxa"/>
              <w:left w:w="100" w:type="dxa"/>
              <w:bottom w:w="100" w:type="dxa"/>
              <w:right w:w="100" w:type="dxa"/>
            </w:tcMar>
          </w:tcPr>
          <w:p w14:paraId="6DF77746"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200.453</w:t>
            </w:r>
          </w:p>
        </w:tc>
        <w:tc>
          <w:tcPr>
            <w:tcW w:w="3930" w:type="dxa"/>
            <w:shd w:val="clear" w:color="auto" w:fill="auto"/>
            <w:tcMar>
              <w:top w:w="100" w:type="dxa"/>
              <w:left w:w="100" w:type="dxa"/>
              <w:bottom w:w="100" w:type="dxa"/>
              <w:right w:w="100" w:type="dxa"/>
            </w:tcMar>
          </w:tcPr>
          <w:p w14:paraId="49A7B87B"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4F292CB0" w14:textId="77777777" w:rsidTr="00C71B51">
        <w:tc>
          <w:tcPr>
            <w:tcW w:w="3885" w:type="dxa"/>
            <w:shd w:val="clear" w:color="auto" w:fill="auto"/>
            <w:tcMar>
              <w:top w:w="100" w:type="dxa"/>
              <w:left w:w="100" w:type="dxa"/>
              <w:bottom w:w="100" w:type="dxa"/>
              <w:right w:w="100" w:type="dxa"/>
            </w:tcMar>
          </w:tcPr>
          <w:p w14:paraId="0C282A29" w14:textId="77777777" w:rsidR="009E1558" w:rsidRPr="00D210E4" w:rsidRDefault="009E1558" w:rsidP="00C71B51">
            <w:pPr>
              <w:widowControl w:val="0"/>
              <w:spacing w:line="230" w:lineRule="auto"/>
              <w:ind w:left="121" w:right="45" w:hanging="6"/>
              <w:rPr>
                <w:rFonts w:asciiTheme="majorHAnsi" w:eastAsia="Times" w:hAnsiTheme="majorHAnsi" w:cstheme="majorHAnsi"/>
              </w:rPr>
            </w:pPr>
            <w:r w:rsidRPr="00D210E4">
              <w:rPr>
                <w:rFonts w:asciiTheme="majorHAnsi" w:eastAsia="Times" w:hAnsiTheme="majorHAnsi" w:cstheme="majorHAnsi"/>
              </w:rPr>
              <w:t xml:space="preserve">Memberships, subscriptions, and professional activity costs </w:t>
            </w:r>
          </w:p>
        </w:tc>
        <w:tc>
          <w:tcPr>
            <w:tcW w:w="1905" w:type="dxa"/>
            <w:shd w:val="clear" w:color="auto" w:fill="auto"/>
            <w:tcMar>
              <w:top w:w="100" w:type="dxa"/>
              <w:left w:w="100" w:type="dxa"/>
              <w:bottom w:w="100" w:type="dxa"/>
              <w:right w:w="100" w:type="dxa"/>
            </w:tcMar>
          </w:tcPr>
          <w:p w14:paraId="7BE6303F"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200.454</w:t>
            </w:r>
          </w:p>
        </w:tc>
        <w:tc>
          <w:tcPr>
            <w:tcW w:w="3930" w:type="dxa"/>
            <w:shd w:val="clear" w:color="auto" w:fill="auto"/>
            <w:tcMar>
              <w:top w:w="100" w:type="dxa"/>
              <w:left w:w="100" w:type="dxa"/>
              <w:bottom w:w="100" w:type="dxa"/>
              <w:right w:w="100" w:type="dxa"/>
            </w:tcMar>
          </w:tcPr>
          <w:p w14:paraId="48D5DA6C"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unallowable for lobbying organizations </w:t>
            </w:r>
          </w:p>
        </w:tc>
      </w:tr>
      <w:tr w:rsidR="009E1558" w:rsidRPr="00635861" w14:paraId="1303873C" w14:textId="77777777" w:rsidTr="00C71B51">
        <w:tc>
          <w:tcPr>
            <w:tcW w:w="3885" w:type="dxa"/>
            <w:shd w:val="clear" w:color="auto" w:fill="auto"/>
            <w:tcMar>
              <w:top w:w="100" w:type="dxa"/>
              <w:left w:w="100" w:type="dxa"/>
              <w:bottom w:w="100" w:type="dxa"/>
              <w:right w:w="100" w:type="dxa"/>
            </w:tcMar>
          </w:tcPr>
          <w:p w14:paraId="79A43267" w14:textId="77777777" w:rsidR="009E1558" w:rsidRPr="00D210E4" w:rsidRDefault="009E1558" w:rsidP="00C71B51">
            <w:pPr>
              <w:widowControl w:val="0"/>
              <w:spacing w:line="240" w:lineRule="auto"/>
              <w:ind w:left="120"/>
              <w:rPr>
                <w:rFonts w:asciiTheme="majorHAnsi" w:eastAsia="Times" w:hAnsiTheme="majorHAnsi" w:cstheme="majorHAnsi"/>
              </w:rPr>
            </w:pPr>
            <w:r w:rsidRPr="00D210E4">
              <w:rPr>
                <w:rFonts w:asciiTheme="majorHAnsi" w:eastAsia="Times" w:hAnsiTheme="majorHAnsi" w:cstheme="majorHAnsi"/>
              </w:rPr>
              <w:t xml:space="preserve">Organization costs </w:t>
            </w:r>
          </w:p>
        </w:tc>
        <w:tc>
          <w:tcPr>
            <w:tcW w:w="1905" w:type="dxa"/>
            <w:shd w:val="clear" w:color="auto" w:fill="auto"/>
            <w:tcMar>
              <w:top w:w="100" w:type="dxa"/>
              <w:left w:w="100" w:type="dxa"/>
              <w:bottom w:w="100" w:type="dxa"/>
              <w:right w:w="100" w:type="dxa"/>
            </w:tcMar>
          </w:tcPr>
          <w:p w14:paraId="2B2E8AC9"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200.455</w:t>
            </w:r>
          </w:p>
        </w:tc>
        <w:tc>
          <w:tcPr>
            <w:tcW w:w="3930" w:type="dxa"/>
            <w:shd w:val="clear" w:color="auto" w:fill="auto"/>
            <w:tcMar>
              <w:top w:w="100" w:type="dxa"/>
              <w:left w:w="100" w:type="dxa"/>
              <w:bottom w:w="100" w:type="dxa"/>
              <w:right w:w="100" w:type="dxa"/>
            </w:tcMar>
          </w:tcPr>
          <w:p w14:paraId="338F141E"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Unallowable except federal prior approval</w:t>
            </w:r>
          </w:p>
        </w:tc>
      </w:tr>
      <w:tr w:rsidR="009E1558" w:rsidRPr="00635861" w14:paraId="5A25DD2C" w14:textId="77777777" w:rsidTr="00C71B51">
        <w:tc>
          <w:tcPr>
            <w:tcW w:w="3885" w:type="dxa"/>
            <w:shd w:val="clear" w:color="auto" w:fill="auto"/>
            <w:tcMar>
              <w:top w:w="100" w:type="dxa"/>
              <w:left w:w="100" w:type="dxa"/>
              <w:bottom w:w="100" w:type="dxa"/>
              <w:right w:w="100" w:type="dxa"/>
            </w:tcMar>
          </w:tcPr>
          <w:p w14:paraId="0967D574"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Participant support costs </w:t>
            </w:r>
          </w:p>
        </w:tc>
        <w:tc>
          <w:tcPr>
            <w:tcW w:w="1905" w:type="dxa"/>
            <w:shd w:val="clear" w:color="auto" w:fill="auto"/>
            <w:tcMar>
              <w:top w:w="100" w:type="dxa"/>
              <w:left w:w="100" w:type="dxa"/>
              <w:bottom w:w="100" w:type="dxa"/>
              <w:right w:w="100" w:type="dxa"/>
            </w:tcMar>
          </w:tcPr>
          <w:p w14:paraId="6F746FA5"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200.456</w:t>
            </w:r>
          </w:p>
        </w:tc>
        <w:tc>
          <w:tcPr>
            <w:tcW w:w="3930" w:type="dxa"/>
            <w:shd w:val="clear" w:color="auto" w:fill="auto"/>
            <w:tcMar>
              <w:top w:w="100" w:type="dxa"/>
              <w:left w:w="100" w:type="dxa"/>
              <w:bottom w:w="100" w:type="dxa"/>
              <w:right w:w="100" w:type="dxa"/>
            </w:tcMar>
          </w:tcPr>
          <w:p w14:paraId="60EC0919"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Allowable with prior approval of the federal awarding agency</w:t>
            </w:r>
          </w:p>
        </w:tc>
      </w:tr>
      <w:tr w:rsidR="009E1558" w:rsidRPr="00635861" w14:paraId="06C2E6A1" w14:textId="77777777" w:rsidTr="00C71B51">
        <w:tc>
          <w:tcPr>
            <w:tcW w:w="3885" w:type="dxa"/>
            <w:shd w:val="clear" w:color="auto" w:fill="auto"/>
            <w:tcMar>
              <w:top w:w="100" w:type="dxa"/>
              <w:left w:w="100" w:type="dxa"/>
              <w:bottom w:w="100" w:type="dxa"/>
              <w:right w:w="100" w:type="dxa"/>
            </w:tcMar>
          </w:tcPr>
          <w:p w14:paraId="79A2B9B2"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Plant and security costs </w:t>
            </w:r>
          </w:p>
        </w:tc>
        <w:tc>
          <w:tcPr>
            <w:tcW w:w="1905" w:type="dxa"/>
            <w:shd w:val="clear" w:color="auto" w:fill="auto"/>
            <w:tcMar>
              <w:top w:w="100" w:type="dxa"/>
              <w:left w:w="100" w:type="dxa"/>
              <w:bottom w:w="100" w:type="dxa"/>
              <w:right w:w="100" w:type="dxa"/>
            </w:tcMar>
          </w:tcPr>
          <w:p w14:paraId="72BAE443"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200.457</w:t>
            </w:r>
          </w:p>
        </w:tc>
        <w:tc>
          <w:tcPr>
            <w:tcW w:w="3930" w:type="dxa"/>
            <w:shd w:val="clear" w:color="auto" w:fill="auto"/>
            <w:tcMar>
              <w:top w:w="100" w:type="dxa"/>
              <w:left w:w="100" w:type="dxa"/>
              <w:bottom w:w="100" w:type="dxa"/>
              <w:right w:w="100" w:type="dxa"/>
            </w:tcMar>
          </w:tcPr>
          <w:p w14:paraId="06D3CF43"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capital expenditures are subject to </w:t>
            </w:r>
            <w:r w:rsidRPr="00D210E4">
              <w:rPr>
                <w:rFonts w:asciiTheme="majorHAnsi" w:eastAsia="Times" w:hAnsiTheme="majorHAnsi" w:cstheme="majorHAnsi"/>
              </w:rPr>
              <w:t>§ 200.439</w:t>
            </w:r>
          </w:p>
        </w:tc>
      </w:tr>
      <w:tr w:rsidR="009E1558" w:rsidRPr="00635861" w14:paraId="298F7604" w14:textId="77777777" w:rsidTr="00C71B51">
        <w:tc>
          <w:tcPr>
            <w:tcW w:w="3885" w:type="dxa"/>
            <w:shd w:val="clear" w:color="auto" w:fill="auto"/>
            <w:tcMar>
              <w:top w:w="100" w:type="dxa"/>
              <w:left w:w="100" w:type="dxa"/>
              <w:bottom w:w="100" w:type="dxa"/>
              <w:right w:w="100" w:type="dxa"/>
            </w:tcMar>
          </w:tcPr>
          <w:p w14:paraId="7E16652F"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Pre-award costs </w:t>
            </w:r>
          </w:p>
        </w:tc>
        <w:tc>
          <w:tcPr>
            <w:tcW w:w="1905" w:type="dxa"/>
            <w:shd w:val="clear" w:color="auto" w:fill="auto"/>
            <w:tcMar>
              <w:top w:w="100" w:type="dxa"/>
              <w:left w:w="100" w:type="dxa"/>
              <w:bottom w:w="100" w:type="dxa"/>
              <w:right w:w="100" w:type="dxa"/>
            </w:tcMar>
          </w:tcPr>
          <w:p w14:paraId="3C34ACD8"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200.458</w:t>
            </w:r>
          </w:p>
        </w:tc>
        <w:tc>
          <w:tcPr>
            <w:tcW w:w="3930" w:type="dxa"/>
            <w:shd w:val="clear" w:color="auto" w:fill="auto"/>
            <w:tcMar>
              <w:top w:w="100" w:type="dxa"/>
              <w:left w:w="100" w:type="dxa"/>
              <w:bottom w:w="100" w:type="dxa"/>
              <w:right w:w="100" w:type="dxa"/>
            </w:tcMar>
          </w:tcPr>
          <w:p w14:paraId="4BD79C2E"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if consistent with other </w:t>
            </w:r>
            <w:proofErr w:type="spellStart"/>
            <w:r w:rsidRPr="00D210E4">
              <w:rPr>
                <w:rFonts w:asciiTheme="majorHAnsi" w:eastAsia="Times New Roman" w:hAnsiTheme="majorHAnsi" w:cstheme="majorHAnsi"/>
              </w:rPr>
              <w:t>allowabilities</w:t>
            </w:r>
            <w:proofErr w:type="spellEnd"/>
            <w:r w:rsidRPr="00D210E4">
              <w:rPr>
                <w:rFonts w:asciiTheme="majorHAnsi" w:eastAsia="Times New Roman" w:hAnsiTheme="majorHAnsi" w:cstheme="majorHAnsi"/>
              </w:rPr>
              <w:t xml:space="preserve"> and with prior approval of the federal awarding agency</w:t>
            </w:r>
          </w:p>
        </w:tc>
      </w:tr>
      <w:tr w:rsidR="009E1558" w:rsidRPr="00635861" w14:paraId="088F7E03" w14:textId="77777777" w:rsidTr="00C71B51">
        <w:tc>
          <w:tcPr>
            <w:tcW w:w="3885" w:type="dxa"/>
            <w:shd w:val="clear" w:color="auto" w:fill="auto"/>
            <w:tcMar>
              <w:top w:w="100" w:type="dxa"/>
              <w:left w:w="100" w:type="dxa"/>
              <w:bottom w:w="100" w:type="dxa"/>
              <w:right w:w="100" w:type="dxa"/>
            </w:tcMar>
          </w:tcPr>
          <w:p w14:paraId="7FAF411B"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Professional services costs </w:t>
            </w:r>
          </w:p>
        </w:tc>
        <w:tc>
          <w:tcPr>
            <w:tcW w:w="1905" w:type="dxa"/>
            <w:shd w:val="clear" w:color="auto" w:fill="auto"/>
            <w:tcMar>
              <w:top w:w="100" w:type="dxa"/>
              <w:left w:w="100" w:type="dxa"/>
              <w:bottom w:w="100" w:type="dxa"/>
              <w:right w:w="100" w:type="dxa"/>
            </w:tcMar>
          </w:tcPr>
          <w:p w14:paraId="016197DB"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200.459</w:t>
            </w:r>
          </w:p>
        </w:tc>
        <w:tc>
          <w:tcPr>
            <w:tcW w:w="3930" w:type="dxa"/>
            <w:shd w:val="clear" w:color="auto" w:fill="auto"/>
            <w:tcMar>
              <w:top w:w="100" w:type="dxa"/>
              <w:left w:w="100" w:type="dxa"/>
              <w:bottom w:w="100" w:type="dxa"/>
              <w:right w:w="100" w:type="dxa"/>
            </w:tcMar>
          </w:tcPr>
          <w:p w14:paraId="180B6788"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0BBCB31C" w14:textId="77777777" w:rsidTr="00C71B51">
        <w:tc>
          <w:tcPr>
            <w:tcW w:w="3885" w:type="dxa"/>
            <w:shd w:val="clear" w:color="auto" w:fill="auto"/>
            <w:tcMar>
              <w:top w:w="100" w:type="dxa"/>
              <w:left w:w="100" w:type="dxa"/>
              <w:bottom w:w="100" w:type="dxa"/>
              <w:right w:w="100" w:type="dxa"/>
            </w:tcMar>
          </w:tcPr>
          <w:p w14:paraId="03E20183"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Proposal costs </w:t>
            </w:r>
          </w:p>
        </w:tc>
        <w:tc>
          <w:tcPr>
            <w:tcW w:w="1905" w:type="dxa"/>
            <w:shd w:val="clear" w:color="auto" w:fill="auto"/>
            <w:tcMar>
              <w:top w:w="100" w:type="dxa"/>
              <w:left w:w="100" w:type="dxa"/>
              <w:bottom w:w="100" w:type="dxa"/>
              <w:right w:w="100" w:type="dxa"/>
            </w:tcMar>
          </w:tcPr>
          <w:p w14:paraId="1060B434"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200.460</w:t>
            </w:r>
          </w:p>
        </w:tc>
        <w:tc>
          <w:tcPr>
            <w:tcW w:w="3930" w:type="dxa"/>
            <w:shd w:val="clear" w:color="auto" w:fill="auto"/>
            <w:tcMar>
              <w:top w:w="100" w:type="dxa"/>
              <w:left w:w="100" w:type="dxa"/>
              <w:bottom w:w="100" w:type="dxa"/>
              <w:right w:w="100" w:type="dxa"/>
            </w:tcMar>
          </w:tcPr>
          <w:p w14:paraId="68EDF429"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56F07835" w14:textId="77777777" w:rsidTr="00C71B51">
        <w:tc>
          <w:tcPr>
            <w:tcW w:w="3885" w:type="dxa"/>
            <w:shd w:val="clear" w:color="auto" w:fill="auto"/>
            <w:tcMar>
              <w:top w:w="100" w:type="dxa"/>
              <w:left w:w="100" w:type="dxa"/>
              <w:bottom w:w="100" w:type="dxa"/>
              <w:right w:w="100" w:type="dxa"/>
            </w:tcMar>
          </w:tcPr>
          <w:p w14:paraId="612FEBAC"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Publication and printing costs </w:t>
            </w:r>
          </w:p>
        </w:tc>
        <w:tc>
          <w:tcPr>
            <w:tcW w:w="1905" w:type="dxa"/>
            <w:shd w:val="clear" w:color="auto" w:fill="auto"/>
            <w:tcMar>
              <w:top w:w="100" w:type="dxa"/>
              <w:left w:w="100" w:type="dxa"/>
              <w:bottom w:w="100" w:type="dxa"/>
              <w:right w:w="100" w:type="dxa"/>
            </w:tcMar>
          </w:tcPr>
          <w:p w14:paraId="06710FA9"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200.461</w:t>
            </w:r>
          </w:p>
        </w:tc>
        <w:tc>
          <w:tcPr>
            <w:tcW w:w="3930" w:type="dxa"/>
            <w:shd w:val="clear" w:color="auto" w:fill="auto"/>
            <w:tcMar>
              <w:top w:w="100" w:type="dxa"/>
              <w:left w:w="100" w:type="dxa"/>
              <w:bottom w:w="100" w:type="dxa"/>
              <w:right w:w="100" w:type="dxa"/>
            </w:tcMar>
          </w:tcPr>
          <w:p w14:paraId="3A7288A2"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361A0906" w14:textId="77777777" w:rsidTr="00C71B51">
        <w:tc>
          <w:tcPr>
            <w:tcW w:w="3885" w:type="dxa"/>
            <w:shd w:val="clear" w:color="auto" w:fill="auto"/>
            <w:tcMar>
              <w:top w:w="100" w:type="dxa"/>
              <w:left w:w="100" w:type="dxa"/>
              <w:bottom w:w="100" w:type="dxa"/>
              <w:right w:w="100" w:type="dxa"/>
            </w:tcMar>
          </w:tcPr>
          <w:p w14:paraId="62405C6C"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Rearrangement and reconversion costs </w:t>
            </w:r>
          </w:p>
        </w:tc>
        <w:tc>
          <w:tcPr>
            <w:tcW w:w="1905" w:type="dxa"/>
            <w:shd w:val="clear" w:color="auto" w:fill="auto"/>
            <w:tcMar>
              <w:top w:w="100" w:type="dxa"/>
              <w:left w:w="100" w:type="dxa"/>
              <w:bottom w:w="100" w:type="dxa"/>
              <w:right w:w="100" w:type="dxa"/>
            </w:tcMar>
          </w:tcPr>
          <w:p w14:paraId="5A268CE6"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200.462</w:t>
            </w:r>
          </w:p>
        </w:tc>
        <w:tc>
          <w:tcPr>
            <w:tcW w:w="3930" w:type="dxa"/>
            <w:shd w:val="clear" w:color="auto" w:fill="auto"/>
            <w:tcMar>
              <w:top w:w="100" w:type="dxa"/>
              <w:left w:w="100" w:type="dxa"/>
              <w:bottom w:w="100" w:type="dxa"/>
              <w:right w:w="100" w:type="dxa"/>
            </w:tcMar>
          </w:tcPr>
          <w:p w14:paraId="13F84274"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Allowable (ordinary and normal)</w:t>
            </w:r>
          </w:p>
        </w:tc>
      </w:tr>
      <w:tr w:rsidR="009E1558" w:rsidRPr="00635861" w14:paraId="13599839" w14:textId="77777777" w:rsidTr="00C71B51">
        <w:tc>
          <w:tcPr>
            <w:tcW w:w="3885" w:type="dxa"/>
            <w:shd w:val="clear" w:color="auto" w:fill="auto"/>
            <w:tcMar>
              <w:top w:w="100" w:type="dxa"/>
              <w:left w:w="100" w:type="dxa"/>
              <w:bottom w:w="100" w:type="dxa"/>
              <w:right w:w="100" w:type="dxa"/>
            </w:tcMar>
          </w:tcPr>
          <w:p w14:paraId="1FD8FD74"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Recruiting costs </w:t>
            </w:r>
          </w:p>
        </w:tc>
        <w:tc>
          <w:tcPr>
            <w:tcW w:w="1905" w:type="dxa"/>
            <w:shd w:val="clear" w:color="auto" w:fill="auto"/>
            <w:tcMar>
              <w:top w:w="100" w:type="dxa"/>
              <w:left w:w="100" w:type="dxa"/>
              <w:bottom w:w="100" w:type="dxa"/>
              <w:right w:w="100" w:type="dxa"/>
            </w:tcMar>
          </w:tcPr>
          <w:p w14:paraId="62800F8C"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200.463</w:t>
            </w:r>
          </w:p>
        </w:tc>
        <w:tc>
          <w:tcPr>
            <w:tcW w:w="3930" w:type="dxa"/>
            <w:shd w:val="clear" w:color="auto" w:fill="auto"/>
            <w:tcMar>
              <w:top w:w="100" w:type="dxa"/>
              <w:left w:w="100" w:type="dxa"/>
              <w:bottom w:w="100" w:type="dxa"/>
              <w:right w:w="100" w:type="dxa"/>
            </w:tcMar>
          </w:tcPr>
          <w:p w14:paraId="65E167D7"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219DC875" w14:textId="77777777" w:rsidTr="00C71B51">
        <w:tc>
          <w:tcPr>
            <w:tcW w:w="3885" w:type="dxa"/>
            <w:shd w:val="clear" w:color="auto" w:fill="auto"/>
            <w:tcMar>
              <w:top w:w="100" w:type="dxa"/>
              <w:left w:w="100" w:type="dxa"/>
              <w:bottom w:w="100" w:type="dxa"/>
              <w:right w:w="100" w:type="dxa"/>
            </w:tcMar>
          </w:tcPr>
          <w:p w14:paraId="6F317282"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Relocation costs of employees </w:t>
            </w:r>
          </w:p>
        </w:tc>
        <w:tc>
          <w:tcPr>
            <w:tcW w:w="1905" w:type="dxa"/>
            <w:shd w:val="clear" w:color="auto" w:fill="auto"/>
            <w:tcMar>
              <w:top w:w="100" w:type="dxa"/>
              <w:left w:w="100" w:type="dxa"/>
              <w:bottom w:w="100" w:type="dxa"/>
              <w:right w:w="100" w:type="dxa"/>
            </w:tcMar>
          </w:tcPr>
          <w:p w14:paraId="5702E115"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200.464</w:t>
            </w:r>
          </w:p>
        </w:tc>
        <w:tc>
          <w:tcPr>
            <w:tcW w:w="3930" w:type="dxa"/>
            <w:shd w:val="clear" w:color="auto" w:fill="auto"/>
            <w:tcMar>
              <w:top w:w="100" w:type="dxa"/>
              <w:left w:w="100" w:type="dxa"/>
              <w:bottom w:w="100" w:type="dxa"/>
              <w:right w:w="100" w:type="dxa"/>
            </w:tcMar>
          </w:tcPr>
          <w:p w14:paraId="2481C636"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455D89F0" w14:textId="77777777" w:rsidTr="00C71B51">
        <w:tc>
          <w:tcPr>
            <w:tcW w:w="3885" w:type="dxa"/>
            <w:shd w:val="clear" w:color="auto" w:fill="auto"/>
            <w:tcMar>
              <w:top w:w="100" w:type="dxa"/>
              <w:left w:w="100" w:type="dxa"/>
              <w:bottom w:w="100" w:type="dxa"/>
              <w:right w:w="100" w:type="dxa"/>
            </w:tcMar>
          </w:tcPr>
          <w:p w14:paraId="3D1FE4E1"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Rental costs of real property and equipment </w:t>
            </w:r>
          </w:p>
        </w:tc>
        <w:tc>
          <w:tcPr>
            <w:tcW w:w="1905" w:type="dxa"/>
            <w:shd w:val="clear" w:color="auto" w:fill="auto"/>
            <w:tcMar>
              <w:top w:w="100" w:type="dxa"/>
              <w:left w:w="100" w:type="dxa"/>
              <w:bottom w:w="100" w:type="dxa"/>
              <w:right w:w="100" w:type="dxa"/>
            </w:tcMar>
          </w:tcPr>
          <w:p w14:paraId="0B9C644F"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200.465</w:t>
            </w:r>
          </w:p>
        </w:tc>
        <w:tc>
          <w:tcPr>
            <w:tcW w:w="3930" w:type="dxa"/>
            <w:shd w:val="clear" w:color="auto" w:fill="auto"/>
            <w:tcMar>
              <w:top w:w="100" w:type="dxa"/>
              <w:left w:w="100" w:type="dxa"/>
              <w:bottom w:w="100" w:type="dxa"/>
              <w:right w:w="100" w:type="dxa"/>
            </w:tcMar>
          </w:tcPr>
          <w:p w14:paraId="09C0D2A4"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6A247125" w14:textId="77777777" w:rsidTr="00C71B51">
        <w:tc>
          <w:tcPr>
            <w:tcW w:w="3885" w:type="dxa"/>
            <w:shd w:val="clear" w:color="auto" w:fill="auto"/>
            <w:tcMar>
              <w:top w:w="100" w:type="dxa"/>
              <w:left w:w="100" w:type="dxa"/>
              <w:bottom w:w="100" w:type="dxa"/>
              <w:right w:w="100" w:type="dxa"/>
            </w:tcMar>
          </w:tcPr>
          <w:p w14:paraId="3081840C" w14:textId="77777777" w:rsidR="009E1558" w:rsidRPr="00D210E4" w:rsidRDefault="009E1558" w:rsidP="00C71B51">
            <w:pPr>
              <w:widowControl w:val="0"/>
              <w:spacing w:line="240" w:lineRule="auto"/>
              <w:ind w:left="122"/>
              <w:rPr>
                <w:rFonts w:asciiTheme="majorHAnsi" w:eastAsia="Times" w:hAnsiTheme="majorHAnsi" w:cstheme="majorHAnsi"/>
              </w:rPr>
            </w:pPr>
            <w:r w:rsidRPr="00D210E4">
              <w:rPr>
                <w:rFonts w:asciiTheme="majorHAnsi" w:eastAsia="Times" w:hAnsiTheme="majorHAnsi" w:cstheme="majorHAnsi"/>
              </w:rPr>
              <w:t xml:space="preserve">Scholarships and student aid costs </w:t>
            </w:r>
          </w:p>
        </w:tc>
        <w:tc>
          <w:tcPr>
            <w:tcW w:w="1905" w:type="dxa"/>
            <w:shd w:val="clear" w:color="auto" w:fill="auto"/>
            <w:tcMar>
              <w:top w:w="100" w:type="dxa"/>
              <w:left w:w="100" w:type="dxa"/>
              <w:bottom w:w="100" w:type="dxa"/>
              <w:right w:w="100" w:type="dxa"/>
            </w:tcMar>
          </w:tcPr>
          <w:p w14:paraId="73B37B40"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200.466</w:t>
            </w:r>
          </w:p>
        </w:tc>
        <w:tc>
          <w:tcPr>
            <w:tcW w:w="3930" w:type="dxa"/>
            <w:shd w:val="clear" w:color="auto" w:fill="auto"/>
            <w:tcMar>
              <w:top w:w="100" w:type="dxa"/>
              <w:left w:w="100" w:type="dxa"/>
              <w:bottom w:w="100" w:type="dxa"/>
              <w:right w:w="100" w:type="dxa"/>
            </w:tcMar>
          </w:tcPr>
          <w:p w14:paraId="478C3D9C"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Not specifically addressed</w:t>
            </w:r>
          </w:p>
        </w:tc>
      </w:tr>
      <w:tr w:rsidR="009E1558" w:rsidRPr="00635861" w14:paraId="1C4C5ECF" w14:textId="77777777" w:rsidTr="00C71B51">
        <w:tc>
          <w:tcPr>
            <w:tcW w:w="3885" w:type="dxa"/>
            <w:shd w:val="clear" w:color="auto" w:fill="auto"/>
            <w:tcMar>
              <w:top w:w="100" w:type="dxa"/>
              <w:left w:w="100" w:type="dxa"/>
              <w:bottom w:w="100" w:type="dxa"/>
              <w:right w:w="100" w:type="dxa"/>
            </w:tcMar>
          </w:tcPr>
          <w:p w14:paraId="131592BA" w14:textId="77777777" w:rsidR="009E1558" w:rsidRPr="00D210E4" w:rsidRDefault="009E1558" w:rsidP="00C71B51">
            <w:pPr>
              <w:widowControl w:val="0"/>
              <w:spacing w:line="240" w:lineRule="auto"/>
              <w:ind w:left="122"/>
              <w:rPr>
                <w:rFonts w:asciiTheme="majorHAnsi" w:eastAsia="Times" w:hAnsiTheme="majorHAnsi" w:cstheme="majorHAnsi"/>
              </w:rPr>
            </w:pPr>
            <w:r w:rsidRPr="00D210E4">
              <w:rPr>
                <w:rFonts w:asciiTheme="majorHAnsi" w:eastAsia="Times" w:hAnsiTheme="majorHAnsi" w:cstheme="majorHAnsi"/>
              </w:rPr>
              <w:t xml:space="preserve">Selling and marketing costs </w:t>
            </w:r>
          </w:p>
        </w:tc>
        <w:tc>
          <w:tcPr>
            <w:tcW w:w="1905" w:type="dxa"/>
            <w:shd w:val="clear" w:color="auto" w:fill="auto"/>
            <w:tcMar>
              <w:top w:w="100" w:type="dxa"/>
              <w:left w:w="100" w:type="dxa"/>
              <w:bottom w:w="100" w:type="dxa"/>
              <w:right w:w="100" w:type="dxa"/>
            </w:tcMar>
          </w:tcPr>
          <w:p w14:paraId="3DAAADD5"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200.467</w:t>
            </w:r>
          </w:p>
        </w:tc>
        <w:tc>
          <w:tcPr>
            <w:tcW w:w="3930" w:type="dxa"/>
            <w:shd w:val="clear" w:color="auto" w:fill="auto"/>
            <w:tcMar>
              <w:top w:w="100" w:type="dxa"/>
              <w:left w:w="100" w:type="dxa"/>
              <w:bottom w:w="100" w:type="dxa"/>
              <w:right w:w="100" w:type="dxa"/>
            </w:tcMar>
          </w:tcPr>
          <w:p w14:paraId="57DB8A10"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Unallowable with exceptions</w:t>
            </w:r>
          </w:p>
        </w:tc>
      </w:tr>
      <w:tr w:rsidR="009E1558" w:rsidRPr="00635861" w14:paraId="2A7A4104" w14:textId="77777777" w:rsidTr="00C71B51">
        <w:tc>
          <w:tcPr>
            <w:tcW w:w="3885" w:type="dxa"/>
            <w:shd w:val="clear" w:color="auto" w:fill="auto"/>
            <w:tcMar>
              <w:top w:w="100" w:type="dxa"/>
              <w:left w:w="100" w:type="dxa"/>
              <w:bottom w:w="100" w:type="dxa"/>
              <w:right w:w="100" w:type="dxa"/>
            </w:tcMar>
          </w:tcPr>
          <w:p w14:paraId="38DDDA41" w14:textId="77777777" w:rsidR="009E1558" w:rsidRPr="00D210E4" w:rsidRDefault="009E1558" w:rsidP="00C71B51">
            <w:pPr>
              <w:widowControl w:val="0"/>
              <w:spacing w:line="240" w:lineRule="auto"/>
              <w:ind w:left="122"/>
              <w:rPr>
                <w:rFonts w:asciiTheme="majorHAnsi" w:eastAsia="Times" w:hAnsiTheme="majorHAnsi" w:cstheme="majorHAnsi"/>
              </w:rPr>
            </w:pPr>
            <w:r w:rsidRPr="00D210E4">
              <w:rPr>
                <w:rFonts w:asciiTheme="majorHAnsi" w:eastAsia="Times" w:hAnsiTheme="majorHAnsi" w:cstheme="majorHAnsi"/>
              </w:rPr>
              <w:lastRenderedPageBreak/>
              <w:t xml:space="preserve">Specialized service facilities </w:t>
            </w:r>
          </w:p>
        </w:tc>
        <w:tc>
          <w:tcPr>
            <w:tcW w:w="1905" w:type="dxa"/>
            <w:shd w:val="clear" w:color="auto" w:fill="auto"/>
            <w:tcMar>
              <w:top w:w="100" w:type="dxa"/>
              <w:left w:w="100" w:type="dxa"/>
              <w:bottom w:w="100" w:type="dxa"/>
              <w:right w:w="100" w:type="dxa"/>
            </w:tcMar>
          </w:tcPr>
          <w:p w14:paraId="320ACC27"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200.468</w:t>
            </w:r>
          </w:p>
        </w:tc>
        <w:tc>
          <w:tcPr>
            <w:tcW w:w="3930" w:type="dxa"/>
            <w:shd w:val="clear" w:color="auto" w:fill="auto"/>
            <w:tcMar>
              <w:top w:w="100" w:type="dxa"/>
              <w:left w:w="100" w:type="dxa"/>
              <w:bottom w:w="100" w:type="dxa"/>
              <w:right w:w="100" w:type="dxa"/>
            </w:tcMar>
          </w:tcPr>
          <w:p w14:paraId="6346B428"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3ABDFA23" w14:textId="77777777" w:rsidTr="00C71B51">
        <w:tc>
          <w:tcPr>
            <w:tcW w:w="3885" w:type="dxa"/>
            <w:shd w:val="clear" w:color="auto" w:fill="auto"/>
            <w:tcMar>
              <w:top w:w="100" w:type="dxa"/>
              <w:left w:w="100" w:type="dxa"/>
              <w:bottom w:w="100" w:type="dxa"/>
              <w:right w:w="100" w:type="dxa"/>
            </w:tcMar>
          </w:tcPr>
          <w:p w14:paraId="2F1D122B" w14:textId="77777777" w:rsidR="009E1558" w:rsidRPr="00D210E4" w:rsidRDefault="009E1558" w:rsidP="00C71B51">
            <w:pPr>
              <w:widowControl w:val="0"/>
              <w:spacing w:line="240" w:lineRule="auto"/>
              <w:ind w:left="122"/>
              <w:rPr>
                <w:rFonts w:asciiTheme="majorHAnsi" w:eastAsia="Times" w:hAnsiTheme="majorHAnsi" w:cstheme="majorHAnsi"/>
              </w:rPr>
            </w:pPr>
            <w:r w:rsidRPr="00D210E4">
              <w:rPr>
                <w:rFonts w:asciiTheme="majorHAnsi" w:eastAsia="Times" w:hAnsiTheme="majorHAnsi" w:cstheme="majorHAnsi"/>
              </w:rPr>
              <w:t xml:space="preserve">Student activity costs </w:t>
            </w:r>
          </w:p>
        </w:tc>
        <w:tc>
          <w:tcPr>
            <w:tcW w:w="1905" w:type="dxa"/>
            <w:shd w:val="clear" w:color="auto" w:fill="auto"/>
            <w:tcMar>
              <w:top w:w="100" w:type="dxa"/>
              <w:left w:w="100" w:type="dxa"/>
              <w:bottom w:w="100" w:type="dxa"/>
              <w:right w:w="100" w:type="dxa"/>
            </w:tcMar>
          </w:tcPr>
          <w:p w14:paraId="094EBBB0"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200.469</w:t>
            </w:r>
          </w:p>
        </w:tc>
        <w:tc>
          <w:tcPr>
            <w:tcW w:w="3930" w:type="dxa"/>
            <w:shd w:val="clear" w:color="auto" w:fill="auto"/>
            <w:tcMar>
              <w:top w:w="100" w:type="dxa"/>
              <w:left w:w="100" w:type="dxa"/>
              <w:bottom w:w="100" w:type="dxa"/>
              <w:right w:w="100" w:type="dxa"/>
            </w:tcMar>
          </w:tcPr>
          <w:p w14:paraId="2C830E07"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Unallowable unless specifically provided for in the federal award</w:t>
            </w:r>
          </w:p>
        </w:tc>
      </w:tr>
      <w:tr w:rsidR="009E1558" w:rsidRPr="00635861" w14:paraId="2C618BA4" w14:textId="77777777" w:rsidTr="00C71B51">
        <w:tc>
          <w:tcPr>
            <w:tcW w:w="3885" w:type="dxa"/>
            <w:shd w:val="clear" w:color="auto" w:fill="auto"/>
            <w:tcMar>
              <w:top w:w="100" w:type="dxa"/>
              <w:left w:w="100" w:type="dxa"/>
              <w:bottom w:w="100" w:type="dxa"/>
              <w:right w:w="100" w:type="dxa"/>
            </w:tcMar>
          </w:tcPr>
          <w:p w14:paraId="2531D128"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Taxes (including Value Added Tax) </w:t>
            </w:r>
          </w:p>
        </w:tc>
        <w:tc>
          <w:tcPr>
            <w:tcW w:w="1905" w:type="dxa"/>
            <w:shd w:val="clear" w:color="auto" w:fill="auto"/>
            <w:tcMar>
              <w:top w:w="100" w:type="dxa"/>
              <w:left w:w="100" w:type="dxa"/>
              <w:bottom w:w="100" w:type="dxa"/>
              <w:right w:w="100" w:type="dxa"/>
            </w:tcMar>
          </w:tcPr>
          <w:p w14:paraId="0331A71A"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200.470</w:t>
            </w:r>
          </w:p>
        </w:tc>
        <w:tc>
          <w:tcPr>
            <w:tcW w:w="3930" w:type="dxa"/>
            <w:shd w:val="clear" w:color="auto" w:fill="auto"/>
            <w:tcMar>
              <w:top w:w="100" w:type="dxa"/>
              <w:left w:w="100" w:type="dxa"/>
              <w:bottom w:w="100" w:type="dxa"/>
              <w:right w:w="100" w:type="dxa"/>
            </w:tcMar>
          </w:tcPr>
          <w:p w14:paraId="22E4536F"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622C6E5F" w14:textId="77777777" w:rsidTr="00C71B51">
        <w:tc>
          <w:tcPr>
            <w:tcW w:w="3885" w:type="dxa"/>
            <w:shd w:val="clear" w:color="auto" w:fill="auto"/>
            <w:tcMar>
              <w:top w:w="100" w:type="dxa"/>
              <w:left w:w="100" w:type="dxa"/>
              <w:bottom w:w="100" w:type="dxa"/>
              <w:right w:w="100" w:type="dxa"/>
            </w:tcMar>
          </w:tcPr>
          <w:p w14:paraId="3536D38B"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Termination costs </w:t>
            </w:r>
          </w:p>
        </w:tc>
        <w:tc>
          <w:tcPr>
            <w:tcW w:w="1905" w:type="dxa"/>
            <w:shd w:val="clear" w:color="auto" w:fill="auto"/>
            <w:tcMar>
              <w:top w:w="100" w:type="dxa"/>
              <w:left w:w="100" w:type="dxa"/>
              <w:bottom w:w="100" w:type="dxa"/>
              <w:right w:w="100" w:type="dxa"/>
            </w:tcMar>
          </w:tcPr>
          <w:p w14:paraId="135E417B"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200.471</w:t>
            </w:r>
          </w:p>
        </w:tc>
        <w:tc>
          <w:tcPr>
            <w:tcW w:w="3930" w:type="dxa"/>
            <w:shd w:val="clear" w:color="auto" w:fill="auto"/>
            <w:tcMar>
              <w:top w:w="100" w:type="dxa"/>
              <w:left w:w="100" w:type="dxa"/>
              <w:bottom w:w="100" w:type="dxa"/>
              <w:right w:w="100" w:type="dxa"/>
            </w:tcMar>
          </w:tcPr>
          <w:p w14:paraId="2202D830"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2A9254CA" w14:textId="77777777" w:rsidTr="00C71B51">
        <w:tc>
          <w:tcPr>
            <w:tcW w:w="3885" w:type="dxa"/>
            <w:shd w:val="clear" w:color="auto" w:fill="auto"/>
            <w:tcMar>
              <w:top w:w="100" w:type="dxa"/>
              <w:left w:w="100" w:type="dxa"/>
              <w:bottom w:w="100" w:type="dxa"/>
              <w:right w:w="100" w:type="dxa"/>
            </w:tcMar>
          </w:tcPr>
          <w:p w14:paraId="5D93108C"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Training and education costs </w:t>
            </w:r>
          </w:p>
        </w:tc>
        <w:tc>
          <w:tcPr>
            <w:tcW w:w="1905" w:type="dxa"/>
            <w:shd w:val="clear" w:color="auto" w:fill="auto"/>
            <w:tcMar>
              <w:top w:w="100" w:type="dxa"/>
              <w:left w:w="100" w:type="dxa"/>
              <w:bottom w:w="100" w:type="dxa"/>
              <w:right w:w="100" w:type="dxa"/>
            </w:tcMar>
          </w:tcPr>
          <w:p w14:paraId="6DEEA31F"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200.472</w:t>
            </w:r>
          </w:p>
        </w:tc>
        <w:tc>
          <w:tcPr>
            <w:tcW w:w="3930" w:type="dxa"/>
            <w:shd w:val="clear" w:color="auto" w:fill="auto"/>
            <w:tcMar>
              <w:top w:w="100" w:type="dxa"/>
              <w:left w:w="100" w:type="dxa"/>
              <w:bottom w:w="100" w:type="dxa"/>
              <w:right w:w="100" w:type="dxa"/>
            </w:tcMar>
          </w:tcPr>
          <w:p w14:paraId="76F4DB69"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Allowable for employee development</w:t>
            </w:r>
          </w:p>
        </w:tc>
      </w:tr>
      <w:tr w:rsidR="009E1558" w:rsidRPr="00635861" w14:paraId="742AF220" w14:textId="77777777" w:rsidTr="00C71B51">
        <w:tc>
          <w:tcPr>
            <w:tcW w:w="3885" w:type="dxa"/>
            <w:shd w:val="clear" w:color="auto" w:fill="auto"/>
            <w:tcMar>
              <w:top w:w="100" w:type="dxa"/>
              <w:left w:w="100" w:type="dxa"/>
              <w:bottom w:w="100" w:type="dxa"/>
              <w:right w:w="100" w:type="dxa"/>
            </w:tcMar>
          </w:tcPr>
          <w:p w14:paraId="4ACB96C9"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Transportation costs </w:t>
            </w:r>
          </w:p>
        </w:tc>
        <w:tc>
          <w:tcPr>
            <w:tcW w:w="1905" w:type="dxa"/>
            <w:shd w:val="clear" w:color="auto" w:fill="auto"/>
            <w:tcMar>
              <w:top w:w="100" w:type="dxa"/>
              <w:left w:w="100" w:type="dxa"/>
              <w:bottom w:w="100" w:type="dxa"/>
              <w:right w:w="100" w:type="dxa"/>
            </w:tcMar>
          </w:tcPr>
          <w:p w14:paraId="7F6468D8"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200.473</w:t>
            </w:r>
          </w:p>
        </w:tc>
        <w:tc>
          <w:tcPr>
            <w:tcW w:w="3930" w:type="dxa"/>
            <w:shd w:val="clear" w:color="auto" w:fill="auto"/>
            <w:tcMar>
              <w:top w:w="100" w:type="dxa"/>
              <w:left w:w="100" w:type="dxa"/>
              <w:bottom w:w="100" w:type="dxa"/>
              <w:right w:w="100" w:type="dxa"/>
            </w:tcMar>
          </w:tcPr>
          <w:p w14:paraId="4A171FC7"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4886B1FF" w14:textId="77777777" w:rsidTr="00C71B51">
        <w:tc>
          <w:tcPr>
            <w:tcW w:w="3885" w:type="dxa"/>
            <w:shd w:val="clear" w:color="auto" w:fill="auto"/>
            <w:tcMar>
              <w:top w:w="100" w:type="dxa"/>
              <w:left w:w="100" w:type="dxa"/>
              <w:bottom w:w="100" w:type="dxa"/>
              <w:right w:w="100" w:type="dxa"/>
            </w:tcMar>
          </w:tcPr>
          <w:p w14:paraId="2E97B7DA"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Travel costs </w:t>
            </w:r>
          </w:p>
        </w:tc>
        <w:tc>
          <w:tcPr>
            <w:tcW w:w="1905" w:type="dxa"/>
            <w:shd w:val="clear" w:color="auto" w:fill="auto"/>
            <w:tcMar>
              <w:top w:w="100" w:type="dxa"/>
              <w:left w:w="100" w:type="dxa"/>
              <w:bottom w:w="100" w:type="dxa"/>
              <w:right w:w="100" w:type="dxa"/>
            </w:tcMar>
          </w:tcPr>
          <w:p w14:paraId="0D74F459"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200.474</w:t>
            </w:r>
          </w:p>
        </w:tc>
        <w:tc>
          <w:tcPr>
            <w:tcW w:w="3930" w:type="dxa"/>
            <w:shd w:val="clear" w:color="auto" w:fill="auto"/>
            <w:tcMar>
              <w:top w:w="100" w:type="dxa"/>
              <w:left w:w="100" w:type="dxa"/>
              <w:bottom w:w="100" w:type="dxa"/>
              <w:right w:w="100" w:type="dxa"/>
            </w:tcMar>
          </w:tcPr>
          <w:p w14:paraId="5ACEBF1D"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 xml:space="preserve">Allowable with restrictions </w:t>
            </w:r>
          </w:p>
        </w:tc>
      </w:tr>
      <w:tr w:rsidR="009E1558" w:rsidRPr="00635861" w14:paraId="3C5220E7" w14:textId="77777777" w:rsidTr="00C71B51">
        <w:tc>
          <w:tcPr>
            <w:tcW w:w="3885" w:type="dxa"/>
            <w:shd w:val="clear" w:color="auto" w:fill="auto"/>
            <w:tcMar>
              <w:top w:w="100" w:type="dxa"/>
              <w:left w:w="100" w:type="dxa"/>
              <w:bottom w:w="100" w:type="dxa"/>
              <w:right w:w="100" w:type="dxa"/>
            </w:tcMar>
          </w:tcPr>
          <w:p w14:paraId="72676424" w14:textId="77777777" w:rsidR="009E1558" w:rsidRPr="00D210E4" w:rsidRDefault="009E1558" w:rsidP="00C71B51">
            <w:pPr>
              <w:widowControl w:val="0"/>
              <w:spacing w:line="240" w:lineRule="auto"/>
              <w:ind w:left="116"/>
              <w:rPr>
                <w:rFonts w:asciiTheme="majorHAnsi" w:eastAsia="Times" w:hAnsiTheme="majorHAnsi" w:cstheme="majorHAnsi"/>
              </w:rPr>
            </w:pPr>
            <w:r w:rsidRPr="00D210E4">
              <w:rPr>
                <w:rFonts w:asciiTheme="majorHAnsi" w:eastAsia="Times" w:hAnsiTheme="majorHAnsi" w:cstheme="majorHAnsi"/>
              </w:rPr>
              <w:t xml:space="preserve">Trustees </w:t>
            </w:r>
          </w:p>
        </w:tc>
        <w:tc>
          <w:tcPr>
            <w:tcW w:w="1905" w:type="dxa"/>
            <w:shd w:val="clear" w:color="auto" w:fill="auto"/>
            <w:tcMar>
              <w:top w:w="100" w:type="dxa"/>
              <w:left w:w="100" w:type="dxa"/>
              <w:bottom w:w="100" w:type="dxa"/>
              <w:right w:w="100" w:type="dxa"/>
            </w:tcMar>
          </w:tcPr>
          <w:p w14:paraId="0379B77C" w14:textId="77777777" w:rsidR="009E1558" w:rsidRPr="00D210E4" w:rsidRDefault="009E1558" w:rsidP="00C71B51">
            <w:pPr>
              <w:widowControl w:val="0"/>
              <w:spacing w:line="240" w:lineRule="auto"/>
              <w:ind w:left="119"/>
              <w:rPr>
                <w:rFonts w:asciiTheme="majorHAnsi" w:eastAsia="Times" w:hAnsiTheme="majorHAnsi" w:cstheme="majorHAnsi"/>
              </w:rPr>
            </w:pPr>
            <w:r w:rsidRPr="00D210E4">
              <w:rPr>
                <w:rFonts w:asciiTheme="majorHAnsi" w:eastAsia="Times" w:hAnsiTheme="majorHAnsi" w:cstheme="majorHAnsi"/>
              </w:rPr>
              <w:t>2 CFR § 200.475</w:t>
            </w:r>
          </w:p>
        </w:tc>
        <w:tc>
          <w:tcPr>
            <w:tcW w:w="3930" w:type="dxa"/>
            <w:shd w:val="clear" w:color="auto" w:fill="auto"/>
            <w:tcMar>
              <w:top w:w="100" w:type="dxa"/>
              <w:left w:w="100" w:type="dxa"/>
              <w:bottom w:w="100" w:type="dxa"/>
              <w:right w:w="100" w:type="dxa"/>
            </w:tcMar>
          </w:tcPr>
          <w:p w14:paraId="6F80D401" w14:textId="77777777" w:rsidR="009E1558" w:rsidRPr="00D210E4" w:rsidRDefault="009E1558" w:rsidP="00C71B51">
            <w:pPr>
              <w:widowControl w:val="0"/>
              <w:spacing w:line="240" w:lineRule="auto"/>
              <w:rPr>
                <w:rFonts w:asciiTheme="majorHAnsi" w:eastAsia="Times New Roman" w:hAnsiTheme="majorHAnsi" w:cstheme="majorHAnsi"/>
              </w:rPr>
            </w:pPr>
            <w:r w:rsidRPr="00D210E4">
              <w:rPr>
                <w:rFonts w:asciiTheme="majorHAnsi" w:eastAsia="Times New Roman" w:hAnsiTheme="majorHAnsi" w:cstheme="majorHAnsi"/>
              </w:rPr>
              <w:t>Not specifically addressed</w:t>
            </w:r>
          </w:p>
        </w:tc>
      </w:tr>
    </w:tbl>
    <w:p w14:paraId="011B2A91" w14:textId="0CAE2279" w:rsidR="00517200" w:rsidRDefault="00FF20A0"/>
    <w:p w14:paraId="0F6D2565" w14:textId="69405853" w:rsidR="009E1558" w:rsidRPr="009E1558" w:rsidRDefault="009E1558" w:rsidP="009E1558">
      <w:pPr>
        <w:tabs>
          <w:tab w:val="left" w:pos="1255"/>
        </w:tabs>
      </w:pPr>
      <w:r>
        <w:tab/>
      </w:r>
    </w:p>
    <w:sectPr w:rsidR="009E1558" w:rsidRPr="009E1558" w:rsidSect="00EC6208">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675C" w14:textId="77777777" w:rsidR="00D33827" w:rsidRDefault="00D33827" w:rsidP="009E1558">
      <w:pPr>
        <w:spacing w:after="0" w:line="240" w:lineRule="auto"/>
      </w:pPr>
      <w:r>
        <w:separator/>
      </w:r>
    </w:p>
  </w:endnote>
  <w:endnote w:type="continuationSeparator" w:id="0">
    <w:p w14:paraId="406ADD43" w14:textId="77777777" w:rsidR="00D33827" w:rsidRDefault="00D33827" w:rsidP="009E1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2556592"/>
      <w:docPartObj>
        <w:docPartGallery w:val="Page Numbers (Bottom of Page)"/>
        <w:docPartUnique/>
      </w:docPartObj>
    </w:sdtPr>
    <w:sdtEndPr>
      <w:rPr>
        <w:rStyle w:val="PageNumber"/>
      </w:rPr>
    </w:sdtEndPr>
    <w:sdtContent>
      <w:p w14:paraId="7D6C4EEB" w14:textId="42A73239" w:rsidR="009E1558" w:rsidRDefault="009E1558" w:rsidP="002D35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1D5C57" w14:textId="77777777" w:rsidR="009E1558" w:rsidRDefault="009E1558" w:rsidP="009E15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6629622"/>
      <w:docPartObj>
        <w:docPartGallery w:val="Page Numbers (Bottom of Page)"/>
        <w:docPartUnique/>
      </w:docPartObj>
    </w:sdtPr>
    <w:sdtEndPr>
      <w:rPr>
        <w:rStyle w:val="PageNumber"/>
      </w:rPr>
    </w:sdtEndPr>
    <w:sdtContent>
      <w:p w14:paraId="464F6847" w14:textId="0DA6FD06" w:rsidR="009E1558" w:rsidRDefault="009E1558" w:rsidP="002D35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3D00AB" w14:textId="6E82C229" w:rsidR="009E1558" w:rsidRPr="00C35CC8" w:rsidRDefault="00B3745F" w:rsidP="009E1558">
    <w:pPr>
      <w:pStyle w:val="Footer"/>
      <w:ind w:right="360"/>
      <w:rPr>
        <w:i/>
        <w:iCs/>
      </w:rPr>
    </w:pPr>
    <w:r w:rsidRPr="00C35CC8">
      <w:rPr>
        <w:i/>
        <w:iCs/>
      </w:rPr>
      <w:t xml:space="preserve">Sample </w:t>
    </w:r>
    <w:r w:rsidR="00C35CC8" w:rsidRPr="00C35CC8">
      <w:rPr>
        <w:i/>
        <w:iCs/>
      </w:rPr>
      <w:t>UG Allowable Cost Policy for ARP/CSLFRF Grant</w:t>
    </w:r>
  </w:p>
  <w:p w14:paraId="295F8998" w14:textId="4574D1D4" w:rsidR="00C35CC8" w:rsidRPr="00C35CC8" w:rsidRDefault="00C35CC8" w:rsidP="009E1558">
    <w:pPr>
      <w:pStyle w:val="Footer"/>
      <w:ind w:right="360"/>
      <w:rPr>
        <w:i/>
        <w:iCs/>
      </w:rPr>
    </w:pPr>
    <w:r w:rsidRPr="00C35CC8">
      <w:rPr>
        <w:i/>
        <w:iCs/>
      </w:rPr>
      <w:t>UNC Chapel Hill School of Government</w:t>
    </w:r>
  </w:p>
  <w:p w14:paraId="2DA280EB" w14:textId="537ED5BA" w:rsidR="00C35CC8" w:rsidRPr="00C35CC8" w:rsidRDefault="00C35CC8" w:rsidP="009E1558">
    <w:pPr>
      <w:pStyle w:val="Footer"/>
      <w:ind w:right="360"/>
      <w:rPr>
        <w:i/>
        <w:iCs/>
      </w:rPr>
    </w:pPr>
    <w:r w:rsidRPr="00C35CC8">
      <w:rPr>
        <w:i/>
        <w:iCs/>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D3E2" w14:textId="77777777" w:rsidR="00D33827" w:rsidRDefault="00D33827" w:rsidP="009E1558">
      <w:pPr>
        <w:spacing w:after="0" w:line="240" w:lineRule="auto"/>
      </w:pPr>
      <w:r>
        <w:separator/>
      </w:r>
    </w:p>
  </w:footnote>
  <w:footnote w:type="continuationSeparator" w:id="0">
    <w:p w14:paraId="65D12803" w14:textId="77777777" w:rsidR="00D33827" w:rsidRDefault="00D33827" w:rsidP="009E1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10C"/>
    <w:multiLevelType w:val="hybridMultilevel"/>
    <w:tmpl w:val="03006EB0"/>
    <w:lvl w:ilvl="0" w:tplc="1D56D4B0">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90400"/>
    <w:multiLevelType w:val="hybridMultilevel"/>
    <w:tmpl w:val="BE1E2EE6"/>
    <w:lvl w:ilvl="0" w:tplc="E3B4F22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3F443E"/>
    <w:multiLevelType w:val="hybridMultilevel"/>
    <w:tmpl w:val="633A2AF4"/>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D004385"/>
    <w:multiLevelType w:val="hybridMultilevel"/>
    <w:tmpl w:val="0C3C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B761C"/>
    <w:multiLevelType w:val="multilevel"/>
    <w:tmpl w:val="A71AF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042747D"/>
    <w:multiLevelType w:val="hybridMultilevel"/>
    <w:tmpl w:val="7D3612C8"/>
    <w:lvl w:ilvl="0" w:tplc="D01088B8">
      <w:start w:val="1"/>
      <w:numFmt w:val="decimal"/>
      <w:lvlText w:val="%1."/>
      <w:lvlJc w:val="left"/>
      <w:pPr>
        <w:tabs>
          <w:tab w:val="num" w:pos="720"/>
        </w:tabs>
        <w:ind w:left="720" w:hanging="360"/>
      </w:pPr>
    </w:lvl>
    <w:lvl w:ilvl="1" w:tplc="6AF258D2">
      <w:start w:val="1"/>
      <w:numFmt w:val="decimal"/>
      <w:lvlText w:val="%2."/>
      <w:lvlJc w:val="left"/>
      <w:pPr>
        <w:tabs>
          <w:tab w:val="num" w:pos="1440"/>
        </w:tabs>
        <w:ind w:left="1440" w:hanging="360"/>
      </w:pPr>
    </w:lvl>
    <w:lvl w:ilvl="2" w:tplc="C212E096">
      <w:start w:val="1"/>
      <w:numFmt w:val="decimal"/>
      <w:lvlText w:val="%3."/>
      <w:lvlJc w:val="left"/>
      <w:pPr>
        <w:tabs>
          <w:tab w:val="num" w:pos="2160"/>
        </w:tabs>
        <w:ind w:left="2160" w:hanging="360"/>
      </w:pPr>
    </w:lvl>
    <w:lvl w:ilvl="3" w:tplc="59B85370" w:tentative="1">
      <w:start w:val="1"/>
      <w:numFmt w:val="decimal"/>
      <w:lvlText w:val="%4."/>
      <w:lvlJc w:val="left"/>
      <w:pPr>
        <w:tabs>
          <w:tab w:val="num" w:pos="2880"/>
        </w:tabs>
        <w:ind w:left="2880" w:hanging="360"/>
      </w:pPr>
    </w:lvl>
    <w:lvl w:ilvl="4" w:tplc="834C603A" w:tentative="1">
      <w:start w:val="1"/>
      <w:numFmt w:val="decimal"/>
      <w:lvlText w:val="%5."/>
      <w:lvlJc w:val="left"/>
      <w:pPr>
        <w:tabs>
          <w:tab w:val="num" w:pos="3600"/>
        </w:tabs>
        <w:ind w:left="3600" w:hanging="360"/>
      </w:pPr>
    </w:lvl>
    <w:lvl w:ilvl="5" w:tplc="FF3E9E36" w:tentative="1">
      <w:start w:val="1"/>
      <w:numFmt w:val="decimal"/>
      <w:lvlText w:val="%6."/>
      <w:lvlJc w:val="left"/>
      <w:pPr>
        <w:tabs>
          <w:tab w:val="num" w:pos="4320"/>
        </w:tabs>
        <w:ind w:left="4320" w:hanging="360"/>
      </w:pPr>
    </w:lvl>
    <w:lvl w:ilvl="6" w:tplc="EE280728" w:tentative="1">
      <w:start w:val="1"/>
      <w:numFmt w:val="decimal"/>
      <w:lvlText w:val="%7."/>
      <w:lvlJc w:val="left"/>
      <w:pPr>
        <w:tabs>
          <w:tab w:val="num" w:pos="5040"/>
        </w:tabs>
        <w:ind w:left="5040" w:hanging="360"/>
      </w:pPr>
    </w:lvl>
    <w:lvl w:ilvl="7" w:tplc="C644AB3C" w:tentative="1">
      <w:start w:val="1"/>
      <w:numFmt w:val="decimal"/>
      <w:lvlText w:val="%8."/>
      <w:lvlJc w:val="left"/>
      <w:pPr>
        <w:tabs>
          <w:tab w:val="num" w:pos="5760"/>
        </w:tabs>
        <w:ind w:left="5760" w:hanging="360"/>
      </w:pPr>
    </w:lvl>
    <w:lvl w:ilvl="8" w:tplc="9028B84E" w:tentative="1">
      <w:start w:val="1"/>
      <w:numFmt w:val="decimal"/>
      <w:lvlText w:val="%9."/>
      <w:lvlJc w:val="left"/>
      <w:pPr>
        <w:tabs>
          <w:tab w:val="num" w:pos="6480"/>
        </w:tabs>
        <w:ind w:left="6480" w:hanging="360"/>
      </w:pPr>
    </w:lvl>
  </w:abstractNum>
  <w:abstractNum w:abstractNumId="6" w15:restartNumberingAfterBreak="0">
    <w:nsid w:val="537E5841"/>
    <w:multiLevelType w:val="hybridMultilevel"/>
    <w:tmpl w:val="43FE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58"/>
    <w:rsid w:val="000A367F"/>
    <w:rsid w:val="001319BE"/>
    <w:rsid w:val="001E0A6E"/>
    <w:rsid w:val="004C0DFE"/>
    <w:rsid w:val="00591996"/>
    <w:rsid w:val="009E1558"/>
    <w:rsid w:val="00B3745F"/>
    <w:rsid w:val="00C35CC8"/>
    <w:rsid w:val="00D33827"/>
    <w:rsid w:val="00E50B11"/>
    <w:rsid w:val="00E628A4"/>
    <w:rsid w:val="00E85536"/>
    <w:rsid w:val="00EC6208"/>
    <w:rsid w:val="00FC733F"/>
    <w:rsid w:val="00FF2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893B"/>
  <w15:chartTrackingRefBased/>
  <w15:docId w15:val="{84BFAB5D-F79B-6140-93C8-BED901CC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58"/>
    <w:pPr>
      <w:spacing w:after="200" w:line="276" w:lineRule="auto"/>
      <w:jc w:val="both"/>
    </w:pPr>
    <w:rPr>
      <w:rFonts w:eastAsiaTheme="minorEastAsia"/>
      <w:sz w:val="20"/>
      <w:szCs w:val="20"/>
      <w:lang w:val="en"/>
    </w:rPr>
  </w:style>
  <w:style w:type="paragraph" w:styleId="Heading2">
    <w:name w:val="heading 2"/>
    <w:basedOn w:val="Normal"/>
    <w:next w:val="Normal"/>
    <w:link w:val="Heading2Char"/>
    <w:uiPriority w:val="9"/>
    <w:unhideWhenUsed/>
    <w:qFormat/>
    <w:rsid w:val="009E1558"/>
    <w:pPr>
      <w:spacing w:before="240" w:after="80"/>
      <w:jc w:val="left"/>
      <w:outlineLvl w:val="1"/>
    </w:pPr>
    <w:rPr>
      <w:smallCaps/>
      <w:spacing w:val="5"/>
      <w:sz w:val="28"/>
      <w:szCs w:val="28"/>
    </w:rPr>
  </w:style>
  <w:style w:type="paragraph" w:styleId="Heading4">
    <w:name w:val="heading 4"/>
    <w:basedOn w:val="Normal"/>
    <w:next w:val="Normal"/>
    <w:link w:val="Heading4Char"/>
    <w:uiPriority w:val="9"/>
    <w:unhideWhenUsed/>
    <w:qFormat/>
    <w:rsid w:val="009E1558"/>
    <w:pPr>
      <w:spacing w:before="240" w:after="0"/>
      <w:jc w:val="left"/>
      <w:outlineLvl w:val="3"/>
    </w:pPr>
    <w:rPr>
      <w:smallCaps/>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558"/>
    <w:rPr>
      <w:rFonts w:eastAsiaTheme="minorEastAsia"/>
      <w:smallCaps/>
      <w:spacing w:val="5"/>
      <w:sz w:val="28"/>
      <w:szCs w:val="28"/>
      <w:lang w:val="en"/>
    </w:rPr>
  </w:style>
  <w:style w:type="character" w:customStyle="1" w:styleId="Heading4Char">
    <w:name w:val="Heading 4 Char"/>
    <w:basedOn w:val="DefaultParagraphFont"/>
    <w:link w:val="Heading4"/>
    <w:uiPriority w:val="9"/>
    <w:rsid w:val="009E1558"/>
    <w:rPr>
      <w:rFonts w:eastAsiaTheme="minorEastAsia"/>
      <w:smallCaps/>
      <w:spacing w:val="10"/>
      <w:sz w:val="22"/>
      <w:szCs w:val="22"/>
      <w:lang w:val="en"/>
    </w:rPr>
  </w:style>
  <w:style w:type="character" w:styleId="Hyperlink">
    <w:name w:val="Hyperlink"/>
    <w:basedOn w:val="DefaultParagraphFont"/>
    <w:uiPriority w:val="99"/>
    <w:unhideWhenUsed/>
    <w:rsid w:val="009E1558"/>
    <w:rPr>
      <w:color w:val="0563C1" w:themeColor="hyperlink"/>
      <w:u w:val="single"/>
    </w:rPr>
  </w:style>
  <w:style w:type="paragraph" w:styleId="ListParagraph">
    <w:name w:val="List Paragraph"/>
    <w:basedOn w:val="Normal"/>
    <w:uiPriority w:val="34"/>
    <w:qFormat/>
    <w:rsid w:val="009E1558"/>
    <w:pPr>
      <w:ind w:left="720"/>
      <w:contextualSpacing/>
    </w:pPr>
  </w:style>
  <w:style w:type="paragraph" w:styleId="NormalWeb">
    <w:name w:val="Normal (Web)"/>
    <w:basedOn w:val="Normal"/>
    <w:uiPriority w:val="99"/>
    <w:unhideWhenUsed/>
    <w:rsid w:val="009E1558"/>
    <w:rPr>
      <w:rFonts w:ascii="Times New Roman" w:hAnsi="Times New Roman" w:cs="Times New Roman"/>
      <w:sz w:val="24"/>
      <w:szCs w:val="24"/>
    </w:rPr>
  </w:style>
  <w:style w:type="paragraph" w:customStyle="1" w:styleId="psection-1">
    <w:name w:val="psection-1"/>
    <w:basedOn w:val="Normal"/>
    <w:rsid w:val="009E15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umxml">
    <w:name w:val="enumxml"/>
    <w:basedOn w:val="DefaultParagraphFont"/>
    <w:rsid w:val="009E1558"/>
  </w:style>
  <w:style w:type="character" w:customStyle="1" w:styleId="apple-converted-space">
    <w:name w:val="apple-converted-space"/>
    <w:basedOn w:val="DefaultParagraphFont"/>
    <w:rsid w:val="009E1558"/>
  </w:style>
  <w:style w:type="paragraph" w:customStyle="1" w:styleId="psection-2">
    <w:name w:val="psection-2"/>
    <w:basedOn w:val="Normal"/>
    <w:rsid w:val="009E15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t03">
    <w:name w:val="et03"/>
    <w:basedOn w:val="DefaultParagraphFont"/>
    <w:rsid w:val="009E1558"/>
  </w:style>
  <w:style w:type="paragraph" w:customStyle="1" w:styleId="indent-1">
    <w:name w:val="indent-1"/>
    <w:basedOn w:val="Normal"/>
    <w:rsid w:val="009E15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aragraph-hierarchy">
    <w:name w:val="paragraph-hierarchy"/>
    <w:basedOn w:val="DefaultParagraphFont"/>
    <w:rsid w:val="009E1558"/>
  </w:style>
  <w:style w:type="character" w:customStyle="1" w:styleId="paren">
    <w:name w:val="paren"/>
    <w:basedOn w:val="DefaultParagraphFont"/>
    <w:rsid w:val="009E1558"/>
  </w:style>
  <w:style w:type="paragraph" w:customStyle="1" w:styleId="indent-2">
    <w:name w:val="indent-2"/>
    <w:basedOn w:val="Normal"/>
    <w:rsid w:val="009E15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E1558"/>
    <w:rPr>
      <w:color w:val="954F72" w:themeColor="followedHyperlink"/>
      <w:u w:val="single"/>
    </w:rPr>
  </w:style>
  <w:style w:type="paragraph" w:styleId="Footer">
    <w:name w:val="footer"/>
    <w:basedOn w:val="Normal"/>
    <w:link w:val="FooterChar"/>
    <w:uiPriority w:val="99"/>
    <w:unhideWhenUsed/>
    <w:rsid w:val="009E1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558"/>
    <w:rPr>
      <w:rFonts w:eastAsiaTheme="minorEastAsia"/>
      <w:sz w:val="20"/>
      <w:szCs w:val="20"/>
      <w:lang w:val="en"/>
    </w:rPr>
  </w:style>
  <w:style w:type="character" w:styleId="PageNumber">
    <w:name w:val="page number"/>
    <w:basedOn w:val="DefaultParagraphFont"/>
    <w:uiPriority w:val="99"/>
    <w:semiHidden/>
    <w:unhideWhenUsed/>
    <w:rsid w:val="009E1558"/>
  </w:style>
  <w:style w:type="paragraph" w:styleId="Header">
    <w:name w:val="header"/>
    <w:basedOn w:val="Normal"/>
    <w:link w:val="HeaderChar"/>
    <w:uiPriority w:val="99"/>
    <w:unhideWhenUsed/>
    <w:rsid w:val="00B37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45F"/>
    <w:rPr>
      <w:rFonts w:eastAsiaTheme="minorEastAsia"/>
      <w:sz w:val="20"/>
      <w:szCs w:val="20"/>
      <w:lang w:val="en"/>
    </w:rPr>
  </w:style>
  <w:style w:type="character" w:styleId="UnresolvedMention">
    <w:name w:val="Unresolved Mention"/>
    <w:basedOn w:val="DefaultParagraphFont"/>
    <w:uiPriority w:val="99"/>
    <w:semiHidden/>
    <w:unhideWhenUsed/>
    <w:rsid w:val="004C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gov/fal/7cecfdef62dc42729a3fdcd449bd62b8/view" TargetMode="External"/><Relationship Id="rId13" Type="http://schemas.openxmlformats.org/officeDocument/2006/relationships/hyperlink" Target="https://www.law.cornell.edu/definitions/index.php?width=840&amp;height=800&amp;iframe=true&amp;def_id=3d66cac5fd675bfc76ede4888b240176&amp;term_occur=999&amp;term_src=Title:2:Subtitle:A:Chapter:II:Part:200:Subpart:E:Subjgrp:41:200.444" TargetMode="External"/><Relationship Id="rId18" Type="http://schemas.openxmlformats.org/officeDocument/2006/relationships/hyperlink" Target="https://www.law.cornell.edu/definitions/index.php?width=840&amp;height=800&amp;iframe=true&amp;def_id=2f3422fdfc29b5b6e44d5a6de124a7d8&amp;term_occur=999&amp;term_src=Title:2:Subtitle:A:Chapter:II:Part:200:Subpart:E:Subjgrp:41:200.444"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millonzi@sog.unc.edu" TargetMode="External"/><Relationship Id="rId12" Type="http://schemas.openxmlformats.org/officeDocument/2006/relationships/hyperlink" Target="https://www.law.cornell.edu/cfr/text/2/200.475" TargetMode="External"/><Relationship Id="rId17" Type="http://schemas.openxmlformats.org/officeDocument/2006/relationships/hyperlink" Target="https://www.law.cornell.edu/cfr/text/2/200.435" TargetMode="External"/><Relationship Id="rId2" Type="http://schemas.openxmlformats.org/officeDocument/2006/relationships/styles" Target="styles.xml"/><Relationship Id="rId16" Type="http://schemas.openxmlformats.org/officeDocument/2006/relationships/hyperlink" Target="https://www.law.cornell.edu/definitions/index.php?width=840&amp;height=800&amp;iframe=true&amp;def_id=3d66cac5fd675bfc76ede4888b240176&amp;term_occur=999&amp;term_src=Title:2:Subtitle:A:Chapter:II:Part:200:Subpart:E:Subjgrp:41:200.444" TargetMode="External"/><Relationship Id="rId20" Type="http://schemas.openxmlformats.org/officeDocument/2006/relationships/hyperlink" Target="https://www.law.cornell.edu/definitions/index.php?width=840&amp;height=800&amp;iframe=true&amp;def_id=7cbd32c5c688475f8e11a278f7b64299&amp;term_occur=999&amp;term_src=Title:2:Subtitle:A:Chapter:II:Part:200:Subpart:E:Subjgrp:41:200.4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me.treasury.gov/system/files/136/SLFRF-Final-Rule-FAQ.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aw.cornell.edu/definitions/index.php?width=840&amp;height=800&amp;iframe=true&amp;def_id=2f3422fdfc29b5b6e44d5a6de124a7d8&amp;term_occur=999&amp;term_src=Title:2:Subtitle:A:Chapter:II:Part:200:Subpart:E:Subjgrp:41:200.444" TargetMode="External"/><Relationship Id="rId23" Type="http://schemas.openxmlformats.org/officeDocument/2006/relationships/fontTable" Target="fontTable.xml"/><Relationship Id="rId10" Type="http://schemas.openxmlformats.org/officeDocument/2006/relationships/hyperlink" Target="https://www.gpo.gov/fdsys/granule/CFR-2014-title2-vol1/CFR-2014-title2-vol1-part200/content-detail.html" TargetMode="External"/><Relationship Id="rId19" Type="http://schemas.openxmlformats.org/officeDocument/2006/relationships/hyperlink" Target="https://www.law.cornell.edu/cfr/text/2/200.1" TargetMode="External"/><Relationship Id="rId4" Type="http://schemas.openxmlformats.org/officeDocument/2006/relationships/webSettings" Target="webSettings.xml"/><Relationship Id="rId9" Type="http://schemas.openxmlformats.org/officeDocument/2006/relationships/hyperlink" Target="https://home.treasury.gov/system/files/136/SLFRF-Compliance-and-Reporting-Guidance.pdf" TargetMode="External"/><Relationship Id="rId14" Type="http://schemas.openxmlformats.org/officeDocument/2006/relationships/hyperlink" Target="https://www.law.cornell.edu/definitions/index.php?width=840&amp;height=800&amp;iframe=true&amp;def_id=2351077af91a56a86cf7de12032e8194&amp;term_occur=999&amp;term_src=Title:2:Subtitle:A:Chapter:II:Part:200:Subpart:E:Subjgrp:41:200.44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5010</Words>
  <Characters>28562</Characters>
  <Application>Microsoft Office Word</Application>
  <DocSecurity>0</DocSecurity>
  <Lines>238</Lines>
  <Paragraphs>67</Paragraphs>
  <ScaleCrop>false</ScaleCrop>
  <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Millonzi, Kara Anne</dc:creator>
  <cp:keywords/>
  <dc:description/>
  <cp:lastModifiedBy>Millonzi, Kara Anne</cp:lastModifiedBy>
  <cp:revision>12</cp:revision>
  <dcterms:created xsi:type="dcterms:W3CDTF">2022-08-27T15:17:00Z</dcterms:created>
  <dcterms:modified xsi:type="dcterms:W3CDTF">2022-08-27T15:29:00Z</dcterms:modified>
</cp:coreProperties>
</file>