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BF46" w14:textId="7FAC84EA" w:rsidR="00E41785" w:rsidRPr="00E41785" w:rsidRDefault="00E41785" w:rsidP="004E4169">
      <w:pPr>
        <w:spacing w:after="0"/>
        <w:ind w:firstLine="720"/>
        <w:jc w:val="both"/>
        <w:rPr>
          <w:i/>
          <w:iCs/>
          <w:color w:val="FF0000"/>
        </w:rPr>
      </w:pPr>
      <w:r>
        <w:rPr>
          <w:color w:val="FF0000"/>
        </w:rPr>
        <w:t>[6/17/21</w:t>
      </w:r>
      <w:r w:rsidR="004E4169">
        <w:rPr>
          <w:color w:val="FF0000"/>
        </w:rPr>
        <w:t xml:space="preserve"> Update</w:t>
      </w:r>
      <w:r>
        <w:rPr>
          <w:color w:val="FF0000"/>
        </w:rPr>
        <w:t xml:space="preserve">: This post and resolution has been updated to clarify that for contracts subject to the Mini-Brooks Act (Article 3D of Chapter 143 of the General Statutes), a unit is advised to establish a micro-purchase threshold of $0 </w:t>
      </w:r>
      <w:proofErr w:type="gramStart"/>
      <w:r>
        <w:rPr>
          <w:color w:val="FF0000"/>
        </w:rPr>
        <w:t>in the event that</w:t>
      </w:r>
      <w:proofErr w:type="gramEnd"/>
      <w:r>
        <w:rPr>
          <w:color w:val="FF0000"/>
        </w:rPr>
        <w:t xml:space="preserve"> it fails to exercise the exemption to the Mini-Brooks Act contained in G.S. 143-64.32.  </w:t>
      </w:r>
      <w:r w:rsidR="004E4169">
        <w:rPr>
          <w:color w:val="FF0000"/>
        </w:rPr>
        <w:t>In that case, the generally applicable micro-purchase threshold contained in the FAR ($10,000, as adjusted for inflation)</w:t>
      </w:r>
      <w:r>
        <w:rPr>
          <w:color w:val="FF0000"/>
        </w:rPr>
        <w:t xml:space="preserve"> </w:t>
      </w:r>
      <w:r w:rsidR="004E4169">
        <w:rPr>
          <w:color w:val="FF0000"/>
        </w:rPr>
        <w:t xml:space="preserve">is less restrictive than the threshold contained in North Carolina law.  Therefore, units </w:t>
      </w:r>
      <w:r w:rsidR="004E4169" w:rsidRPr="004E4169">
        <w:rPr>
          <w:i/>
          <w:iCs/>
          <w:color w:val="FF0000"/>
        </w:rPr>
        <w:t>failing</w:t>
      </w:r>
      <w:r w:rsidR="004E4169">
        <w:rPr>
          <w:color w:val="FF0000"/>
        </w:rPr>
        <w:t xml:space="preserve"> to exercise the exemption should follow the qualifications-based selection process of the Mini-Brooks Act in all cases.]</w:t>
      </w:r>
    </w:p>
    <w:p w14:paraId="433E0134" w14:textId="77777777" w:rsidR="00E41785" w:rsidRDefault="00E41785" w:rsidP="00383F48">
      <w:pPr>
        <w:spacing w:after="0"/>
        <w:jc w:val="center"/>
        <w:rPr>
          <w:b/>
          <w:bCs/>
          <w:u w:val="single"/>
        </w:rPr>
      </w:pPr>
    </w:p>
    <w:p w14:paraId="1F2CFE00" w14:textId="64C3B685" w:rsidR="00383F48" w:rsidRPr="00604C2B" w:rsidRDefault="00604C2B" w:rsidP="00383F48">
      <w:pPr>
        <w:spacing w:after="0"/>
        <w:jc w:val="center"/>
        <w:rPr>
          <w:b/>
          <w:bCs/>
          <w:u w:val="single"/>
        </w:rPr>
      </w:pPr>
      <w:r>
        <w:rPr>
          <w:b/>
          <w:bCs/>
          <w:u w:val="single"/>
        </w:rPr>
        <w:t>Micro-Purchase Threshold Self-Certification</w:t>
      </w:r>
      <w:r w:rsidR="00383F48">
        <w:rPr>
          <w:b/>
          <w:bCs/>
          <w:u w:val="single"/>
        </w:rPr>
        <w:t xml:space="preserve"> for Units of Local Government in North Carolina</w:t>
      </w:r>
    </w:p>
    <w:p w14:paraId="46ABEB54" w14:textId="58EB3F00" w:rsidR="00604C2B" w:rsidRDefault="00604C2B" w:rsidP="006A5E71">
      <w:pPr>
        <w:spacing w:after="0"/>
      </w:pPr>
    </w:p>
    <w:p w14:paraId="673D8D39" w14:textId="634F7D84" w:rsidR="00BC25CD" w:rsidRDefault="003720C0" w:rsidP="00157D5E">
      <w:pPr>
        <w:spacing w:after="0"/>
        <w:jc w:val="both"/>
      </w:pPr>
      <w:r>
        <w:tab/>
      </w:r>
      <w:r w:rsidR="0022229A">
        <w:t xml:space="preserve">On August 13, 2020, the </w:t>
      </w:r>
      <w:r>
        <w:t xml:space="preserve">Office of Management </w:t>
      </w:r>
      <w:r w:rsidR="00806F22">
        <w:t>and Budget</w:t>
      </w:r>
      <w:r w:rsidR="0022229A">
        <w:t xml:space="preserve"> (“OMB”) </w:t>
      </w:r>
      <w:r w:rsidR="00806F22">
        <w:t xml:space="preserve">published </w:t>
      </w:r>
      <w:r w:rsidR="00BC25CD">
        <w:t>revisions to the Uniform Administrative Requirements, Cost Principles, and Audit Requirements for Federal Awards (2 C.F.R. Part 200) (the “Uniform Guidance”).</w:t>
      </w:r>
      <w:r w:rsidR="00BC25CD">
        <w:rPr>
          <w:rStyle w:val="FootnoteReference"/>
        </w:rPr>
        <w:footnoteReference w:id="1"/>
      </w:r>
      <w:r w:rsidR="00383F48">
        <w:t xml:space="preserve">  </w:t>
      </w:r>
      <w:r w:rsidR="00604C2B">
        <w:t xml:space="preserve">Among other things, the revisions to the Uniform Guidance allow non-Federal entities to raise, via </w:t>
      </w:r>
      <w:r w:rsidR="005356F0">
        <w:t xml:space="preserve">annual </w:t>
      </w:r>
      <w:r w:rsidR="00604C2B">
        <w:t>self-certification, the micro-purchase threshold to a “higher threshold consistent with State law.”</w:t>
      </w:r>
      <w:r w:rsidR="00CE7CC2">
        <w:rPr>
          <w:rStyle w:val="FootnoteReference"/>
        </w:rPr>
        <w:footnoteReference w:id="2"/>
      </w:r>
    </w:p>
    <w:p w14:paraId="519CFF84" w14:textId="0F035CC6" w:rsidR="005376E2" w:rsidRDefault="005376E2" w:rsidP="00157D5E">
      <w:pPr>
        <w:spacing w:after="0"/>
        <w:jc w:val="both"/>
      </w:pPr>
    </w:p>
    <w:p w14:paraId="0F0AC809" w14:textId="353FF2B0" w:rsidR="005376E2" w:rsidRDefault="005376E2" w:rsidP="00157D5E">
      <w:pPr>
        <w:spacing w:after="0"/>
        <w:jc w:val="both"/>
      </w:pPr>
      <w:r>
        <w:tab/>
        <w:t xml:space="preserve">This document provides </w:t>
      </w:r>
      <w:r w:rsidR="002A039B">
        <w:t xml:space="preserve">background information for units of local government in North Carolina </w:t>
      </w:r>
      <w:r w:rsidR="004F5D73">
        <w:t>interested in self-certifying micro-purchase threshold</w:t>
      </w:r>
      <w:r w:rsidR="00976822">
        <w:t>s</w:t>
      </w:r>
      <w:r w:rsidR="001F12F8">
        <w:t xml:space="preserve"> above </w:t>
      </w:r>
      <w:proofErr w:type="gramStart"/>
      <w:r w:rsidR="001F12F8">
        <w:t>$10,000</w:t>
      </w:r>
      <w:r w:rsidR="002A039B">
        <w:t>, and</w:t>
      </w:r>
      <w:proofErr w:type="gramEnd"/>
      <w:r w:rsidR="002A039B">
        <w:t xml:space="preserve"> contains </w:t>
      </w:r>
      <w:r w:rsidR="00976822">
        <w:t>a sample resolution</w:t>
      </w:r>
      <w:r w:rsidR="002A039B">
        <w:t xml:space="preserve"> that </w:t>
      </w:r>
      <w:r w:rsidR="00976822">
        <w:t xml:space="preserve">a </w:t>
      </w:r>
      <w:r w:rsidR="004F5D73">
        <w:t xml:space="preserve">governing board may use to self-certify such </w:t>
      </w:r>
      <w:r w:rsidR="00DF4EF5">
        <w:t xml:space="preserve">higher </w:t>
      </w:r>
      <w:r w:rsidR="004F5D73">
        <w:t>thresholds.</w:t>
      </w:r>
    </w:p>
    <w:p w14:paraId="5FFF618A" w14:textId="634DCA24" w:rsidR="00C17B93" w:rsidRDefault="00C17B93" w:rsidP="00157D5E">
      <w:pPr>
        <w:spacing w:after="0"/>
        <w:jc w:val="both"/>
      </w:pPr>
    </w:p>
    <w:p w14:paraId="3A50AD35" w14:textId="792DB16E" w:rsidR="00C17B93" w:rsidRPr="00C17B93" w:rsidRDefault="00C17B93" w:rsidP="00157D5E">
      <w:pPr>
        <w:spacing w:after="0"/>
        <w:jc w:val="both"/>
        <w:rPr>
          <w:i/>
          <w:iCs/>
          <w:u w:val="single"/>
        </w:rPr>
      </w:pPr>
      <w:r w:rsidRPr="00C17B93">
        <w:rPr>
          <w:i/>
          <w:iCs/>
          <w:u w:val="single"/>
        </w:rPr>
        <w:t>Background</w:t>
      </w:r>
    </w:p>
    <w:p w14:paraId="30E0C6A5" w14:textId="3A3185C1" w:rsidR="00CE7CC2" w:rsidRDefault="00CE7CC2" w:rsidP="00157D5E">
      <w:pPr>
        <w:spacing w:after="0"/>
        <w:jc w:val="both"/>
      </w:pPr>
    </w:p>
    <w:p w14:paraId="3FAC984B" w14:textId="5A893FF3" w:rsidR="00986BDA" w:rsidRDefault="00CE7CC2" w:rsidP="004B0BED">
      <w:pPr>
        <w:spacing w:after="0"/>
        <w:jc w:val="both"/>
      </w:pPr>
      <w:r>
        <w:tab/>
      </w:r>
      <w:r w:rsidR="00F00D96">
        <w:t>Many u</w:t>
      </w:r>
      <w:r w:rsidR="00157D5E">
        <w:t xml:space="preserve">nits of local government in North Carolina receive federal funding subject to the procurement standards in Subpart D </w:t>
      </w:r>
      <w:r w:rsidR="00F00D96">
        <w:t>of the Uniform Guidance</w:t>
      </w:r>
      <w:r w:rsidR="007A627A">
        <w:t xml:space="preserve"> (“Subpart D”)</w:t>
      </w:r>
      <w:r w:rsidR="00F00D96">
        <w:t>.</w:t>
      </w:r>
      <w:r w:rsidR="00F00D96">
        <w:rPr>
          <w:rStyle w:val="FootnoteReference"/>
        </w:rPr>
        <w:footnoteReference w:id="3"/>
      </w:r>
      <w:r w:rsidR="00383F48">
        <w:t xml:space="preserve">  </w:t>
      </w:r>
      <w:r w:rsidR="00986BDA">
        <w:t xml:space="preserve">Those procurement standards enumerate three categories of procurement </w:t>
      </w:r>
      <w:r w:rsidR="006B0894">
        <w:t>methods</w:t>
      </w:r>
      <w:r w:rsidR="001A1D75">
        <w:t xml:space="preserve">: (1) </w:t>
      </w:r>
      <w:r w:rsidR="006B0894">
        <w:t>informal; (2) formal</w:t>
      </w:r>
      <w:r w:rsidR="00076509">
        <w:t>; and (3) noncompetitive.</w:t>
      </w:r>
    </w:p>
    <w:p w14:paraId="5849586C" w14:textId="77777777" w:rsidR="00986BDA" w:rsidRDefault="00986BDA" w:rsidP="004B0BED">
      <w:pPr>
        <w:spacing w:after="0"/>
        <w:jc w:val="both"/>
      </w:pPr>
    </w:p>
    <w:p w14:paraId="4D0AF7C5" w14:textId="78FFA4DF" w:rsidR="008B3CAF" w:rsidRDefault="00E35327" w:rsidP="008B3CAF">
      <w:pPr>
        <w:spacing w:after="0"/>
        <w:ind w:firstLine="720"/>
        <w:jc w:val="both"/>
      </w:pPr>
      <w:r>
        <w:t xml:space="preserve">A “micro-purchase” is </w:t>
      </w:r>
      <w:r w:rsidR="00052DB5">
        <w:t xml:space="preserve">both an informal procurement method and a noncompetitive </w:t>
      </w:r>
      <w:r w:rsidR="00223081">
        <w:t xml:space="preserve">procurement </w:t>
      </w:r>
      <w:r w:rsidR="00052DB5">
        <w:t>method.</w:t>
      </w:r>
      <w:r w:rsidR="00052DB5">
        <w:rPr>
          <w:rStyle w:val="FootnoteReference"/>
        </w:rPr>
        <w:footnoteReference w:id="4"/>
      </w:r>
      <w:r w:rsidR="004E738C">
        <w:t xml:space="preserve">  </w:t>
      </w:r>
      <w:r w:rsidR="00632ECA">
        <w:t>And when</w:t>
      </w:r>
      <w:r w:rsidR="007A627A">
        <w:t xml:space="preserve"> spending federal funds subject to Subpart D, a</w:t>
      </w:r>
      <w:r w:rsidR="004E738C">
        <w:t xml:space="preserve"> non-Federal entity may</w:t>
      </w:r>
      <w:r w:rsidR="00AB0F7F">
        <w:t xml:space="preserve">, on a noncompetitive basis, </w:t>
      </w:r>
      <w:r w:rsidR="004E738C">
        <w:t>acquire supplies or services</w:t>
      </w:r>
      <w:r w:rsidR="007A627A">
        <w:t>, the aggregate dollar amount of which does not exceed the “micro-purchase threshold</w:t>
      </w:r>
      <w:r w:rsidR="00632ECA">
        <w:t>” (as defined in the Uniform Guidance)</w:t>
      </w:r>
      <w:r w:rsidR="00AB0F7F">
        <w:t>.  A non-Federal entity need not solicit competitive price or rate quotations</w:t>
      </w:r>
      <w:r w:rsidR="00721685">
        <w:t xml:space="preserve"> when awarding a micro-purchase</w:t>
      </w:r>
      <w:r w:rsidR="00AB0F7F">
        <w:t xml:space="preserve"> if it considers the price to be “reasonable based on research, experience, purchase history or other information and documents [that] it files accordingly.”</w:t>
      </w:r>
      <w:r w:rsidR="00AB0F7F">
        <w:rPr>
          <w:rStyle w:val="FootnoteReference"/>
        </w:rPr>
        <w:footnoteReference w:id="5"/>
      </w:r>
      <w:r w:rsidR="008B3CAF">
        <w:t xml:space="preserve">  </w:t>
      </w:r>
    </w:p>
    <w:p w14:paraId="0264FF5E" w14:textId="77A57277" w:rsidR="008B3CAF" w:rsidRDefault="008B3CAF" w:rsidP="008B3CAF">
      <w:pPr>
        <w:spacing w:after="0"/>
        <w:ind w:firstLine="720"/>
        <w:jc w:val="both"/>
      </w:pPr>
    </w:p>
    <w:p w14:paraId="784092C7" w14:textId="39BAA63A" w:rsidR="00774794" w:rsidRPr="00774794" w:rsidRDefault="00774794" w:rsidP="004B0BED">
      <w:pPr>
        <w:spacing w:after="0"/>
        <w:jc w:val="both"/>
        <w:rPr>
          <w:u w:val="single"/>
        </w:rPr>
      </w:pPr>
      <w:r w:rsidRPr="00774794">
        <w:rPr>
          <w:i/>
          <w:iCs/>
          <w:u w:val="single"/>
        </w:rPr>
        <w:t xml:space="preserve">What is the </w:t>
      </w:r>
      <w:r w:rsidR="005E31BD">
        <w:rPr>
          <w:i/>
          <w:iCs/>
          <w:u w:val="single"/>
        </w:rPr>
        <w:t>“</w:t>
      </w:r>
      <w:r w:rsidRPr="00774794">
        <w:rPr>
          <w:i/>
          <w:iCs/>
          <w:u w:val="single"/>
        </w:rPr>
        <w:t>Micro-Purchase Threshold</w:t>
      </w:r>
      <w:r w:rsidR="005E31BD">
        <w:rPr>
          <w:i/>
          <w:iCs/>
          <w:u w:val="single"/>
        </w:rPr>
        <w:t>”</w:t>
      </w:r>
      <w:r w:rsidRPr="00774794">
        <w:rPr>
          <w:u w:val="single"/>
        </w:rPr>
        <w:t>?</w:t>
      </w:r>
    </w:p>
    <w:p w14:paraId="5AB29629" w14:textId="1CA2BE2A" w:rsidR="00774794" w:rsidRDefault="00774794" w:rsidP="004B0BED">
      <w:pPr>
        <w:spacing w:after="0"/>
        <w:jc w:val="both"/>
      </w:pPr>
    </w:p>
    <w:p w14:paraId="232E9AE3" w14:textId="21FB325B" w:rsidR="00774794" w:rsidRDefault="00774794" w:rsidP="004B0BED">
      <w:pPr>
        <w:spacing w:after="0"/>
        <w:jc w:val="both"/>
      </w:pPr>
      <w:r>
        <w:lastRenderedPageBreak/>
        <w:tab/>
      </w:r>
      <w:r w:rsidR="006D5125">
        <w:t xml:space="preserve">Prior to the </w:t>
      </w:r>
      <w:r w:rsidR="00CC78F6">
        <w:t xml:space="preserve">2020 Uniform Guidance revisions, </w:t>
      </w:r>
      <w:r w:rsidR="008826EE">
        <w:t xml:space="preserve">the Federal Acquisition Regulation set forth the </w:t>
      </w:r>
      <w:r w:rsidR="00531B0F">
        <w:t xml:space="preserve">primary </w:t>
      </w:r>
      <w:r w:rsidR="008826EE">
        <w:t>definition of</w:t>
      </w:r>
      <w:r w:rsidR="00CC78F6">
        <w:t xml:space="preserve"> “micro-purchase threshold”</w:t>
      </w:r>
      <w:r w:rsidR="002E60EE">
        <w:rPr>
          <w:rStyle w:val="FootnoteReference"/>
        </w:rPr>
        <w:footnoteReference w:id="6"/>
      </w:r>
      <w:r w:rsidR="005376E2">
        <w:t>.</w:t>
      </w:r>
      <w:r w:rsidR="007D18A0">
        <w:t xml:space="preserve">  </w:t>
      </w:r>
      <w:r w:rsidR="00312CA6">
        <w:t>And in</w:t>
      </w:r>
      <w:r w:rsidR="00733D5B">
        <w:t xml:space="preserve"> 2018, </w:t>
      </w:r>
      <w:r w:rsidR="009C4419">
        <w:t xml:space="preserve">OMB </w:t>
      </w:r>
      <w:r w:rsidR="00312CA6">
        <w:t>set the micro-purchase</w:t>
      </w:r>
      <w:r w:rsidR="00733D5B">
        <w:t xml:space="preserve"> threshold </w:t>
      </w:r>
      <w:r w:rsidR="00312CA6">
        <w:t>at</w:t>
      </w:r>
      <w:r w:rsidR="009C4419">
        <w:t xml:space="preserve"> $10,000.</w:t>
      </w:r>
    </w:p>
    <w:p w14:paraId="277F9F24" w14:textId="3ECFFB12" w:rsidR="00F94118" w:rsidRDefault="00F94118" w:rsidP="004B0BED">
      <w:pPr>
        <w:spacing w:after="0"/>
        <w:jc w:val="both"/>
      </w:pPr>
      <w:r>
        <w:tab/>
      </w:r>
    </w:p>
    <w:p w14:paraId="40D74510" w14:textId="6CC31DD4" w:rsidR="00AD2BC7" w:rsidRPr="00456BA2" w:rsidRDefault="00F94118" w:rsidP="004B0BED">
      <w:pPr>
        <w:spacing w:after="0"/>
        <w:jc w:val="both"/>
        <w:rPr>
          <w:i/>
          <w:iCs/>
        </w:rPr>
      </w:pPr>
      <w:r>
        <w:tab/>
        <w:t xml:space="preserve">Rather than set forth a </w:t>
      </w:r>
      <w:r w:rsidR="006913F8">
        <w:t xml:space="preserve">uniform “micro-purchase threshold” for all non-Federal entities, the revised Uniform Guidance </w:t>
      </w:r>
      <w:r w:rsidR="00AD2BC7">
        <w:t>requires each individual non-Federal entity to “</w:t>
      </w:r>
      <w:proofErr w:type="spellStart"/>
      <w:r w:rsidR="00AD2BC7">
        <w:t>determin</w:t>
      </w:r>
      <w:proofErr w:type="spellEnd"/>
      <w:r w:rsidR="00AD2BC7">
        <w:t>[e] and document[t] an appropriate micro-purchase threshold</w:t>
      </w:r>
      <w:r w:rsidR="00A4060F">
        <w:t>” on its own.</w:t>
      </w:r>
      <w:r w:rsidR="00A4060F">
        <w:rPr>
          <w:rStyle w:val="FootnoteReference"/>
        </w:rPr>
        <w:footnoteReference w:id="7"/>
      </w:r>
      <w:r w:rsidR="003606AF">
        <w:t xml:space="preserve">  Under </w:t>
      </w:r>
      <w:r w:rsidR="007A49F5">
        <w:t>the</w:t>
      </w:r>
      <w:r w:rsidR="003606AF">
        <w:t xml:space="preserve"> new definition of “micro-purchase threshold”, OMB has indicated that “</w:t>
      </w:r>
      <w:r w:rsidR="003606AF" w:rsidRPr="00456BA2">
        <w:rPr>
          <w:i/>
          <w:iCs/>
        </w:rPr>
        <w:t>[g]</w:t>
      </w:r>
      <w:proofErr w:type="spellStart"/>
      <w:r w:rsidR="003606AF" w:rsidRPr="00456BA2">
        <w:rPr>
          <w:i/>
          <w:iCs/>
        </w:rPr>
        <w:t>enerally</w:t>
      </w:r>
      <w:proofErr w:type="spellEnd"/>
      <w:r w:rsidR="003606AF">
        <w:t xml:space="preserve">, </w:t>
      </w:r>
      <w:r w:rsidR="00456BA2">
        <w:t>the micro-purchase threshold for procurement activities administer</w:t>
      </w:r>
      <w:r w:rsidR="00B41EF4">
        <w:t>ed</w:t>
      </w:r>
      <w:r w:rsidR="00456BA2">
        <w:t xml:space="preserve"> under Federal awards is not to exceed the amount set by the [Federal Acquisition Regulation] at 48 CFR Part 2, Subpart 2.1</w:t>
      </w:r>
      <w:r w:rsidR="007A49F5">
        <w:t>[.]”</w:t>
      </w:r>
      <w:r w:rsidR="007A49F5">
        <w:rPr>
          <w:rStyle w:val="FootnoteReference"/>
        </w:rPr>
        <w:footnoteReference w:id="8"/>
      </w:r>
      <w:r w:rsidR="009F40DF">
        <w:t xml:space="preserve">  </w:t>
      </w:r>
      <w:r w:rsidR="009C3A6F">
        <w:t>As</w:t>
      </w:r>
      <w:r w:rsidR="009F40DF">
        <w:t xml:space="preserve"> of this writing, that amount is $10,000 (subject to limited exceptions)</w:t>
      </w:r>
      <w:r w:rsidR="009A60F8">
        <w:t xml:space="preserve"> and periodic adjustments for inflation</w:t>
      </w:r>
      <w:r w:rsidR="009F40DF">
        <w:t>.</w:t>
      </w:r>
    </w:p>
    <w:p w14:paraId="034AFC00" w14:textId="77777777" w:rsidR="00AD2BC7" w:rsidRDefault="00AD2BC7" w:rsidP="004B0BED">
      <w:pPr>
        <w:spacing w:after="0"/>
        <w:jc w:val="both"/>
      </w:pPr>
    </w:p>
    <w:p w14:paraId="65F3FB6E" w14:textId="17652E22" w:rsidR="00774794" w:rsidRPr="00774794" w:rsidRDefault="00774794" w:rsidP="004B0BED">
      <w:pPr>
        <w:spacing w:after="0"/>
        <w:jc w:val="both"/>
        <w:rPr>
          <w:i/>
          <w:iCs/>
          <w:u w:val="single"/>
        </w:rPr>
      </w:pPr>
      <w:r>
        <w:rPr>
          <w:i/>
          <w:iCs/>
          <w:u w:val="single"/>
        </w:rPr>
        <w:t>Ability to Increase the Micro-Purchase Threshold</w:t>
      </w:r>
    </w:p>
    <w:p w14:paraId="420B55BD" w14:textId="10E1CC51" w:rsidR="00774794" w:rsidRDefault="00774794" w:rsidP="004B0BED">
      <w:pPr>
        <w:spacing w:after="0"/>
        <w:jc w:val="both"/>
      </w:pPr>
    </w:p>
    <w:p w14:paraId="4167F96C" w14:textId="33320344" w:rsidR="00D5142D" w:rsidRDefault="00D5142D" w:rsidP="004B0BED">
      <w:pPr>
        <w:spacing w:after="0"/>
        <w:jc w:val="both"/>
      </w:pPr>
      <w:r>
        <w:tab/>
      </w:r>
      <w:r w:rsidR="00384B3F">
        <w:t>Despite the continued existence of the generally applicable micro-purchase threshold, t</w:t>
      </w:r>
      <w:r>
        <w:t xml:space="preserve">he 2020 revisions to the Uniform Guidance permit </w:t>
      </w:r>
      <w:r w:rsidR="00384B3F">
        <w:t>non-Federal entities</w:t>
      </w:r>
      <w:r w:rsidR="003E141C">
        <w:t xml:space="preserve">, for some types of contracts, </w:t>
      </w:r>
      <w:r w:rsidR="00C86626">
        <w:t xml:space="preserve">to raise the micro-purchase </w:t>
      </w:r>
      <w:r w:rsidR="00962E85">
        <w:t xml:space="preserve">to </w:t>
      </w:r>
      <w:r w:rsidR="003E141C">
        <w:t>a</w:t>
      </w:r>
      <w:r w:rsidR="00962E85">
        <w:t xml:space="preserve"> level not to exceed $50,000.</w:t>
      </w:r>
      <w:r w:rsidR="00B12EE3">
        <w:rPr>
          <w:rStyle w:val="FootnoteReference"/>
        </w:rPr>
        <w:footnoteReference w:id="9"/>
      </w:r>
    </w:p>
    <w:p w14:paraId="30A9E703" w14:textId="0110244D" w:rsidR="00962E85" w:rsidRDefault="00962E85" w:rsidP="004B0BED">
      <w:pPr>
        <w:spacing w:after="0"/>
        <w:jc w:val="both"/>
      </w:pPr>
    </w:p>
    <w:p w14:paraId="512668B4" w14:textId="5E96AB39" w:rsidR="00934F5A" w:rsidRDefault="00962E85" w:rsidP="004B0BED">
      <w:pPr>
        <w:spacing w:after="0"/>
        <w:jc w:val="both"/>
      </w:pPr>
      <w:r>
        <w:tab/>
      </w:r>
      <w:r w:rsidR="0088225B">
        <w:t>A non-Federal entity may self-certify a threshold of up to $50,000 on an annual basis</w:t>
      </w:r>
      <w:r w:rsidR="00934F5A">
        <w:t xml:space="preserve"> if </w:t>
      </w:r>
      <w:r w:rsidR="00DD104E">
        <w:t xml:space="preserve">(1) </w:t>
      </w:r>
      <w:r w:rsidR="00934F5A">
        <w:t>it maintains documentation to be made available to a Federal awarding agency</w:t>
      </w:r>
      <w:r w:rsidR="003A3693">
        <w:t xml:space="preserve"> or pass-through entity</w:t>
      </w:r>
      <w:r w:rsidR="00934F5A">
        <w:t xml:space="preserve"> and auditors in accordance with 2 C.F.R</w:t>
      </w:r>
      <w:r w:rsidR="00EE2009">
        <w:t>.</w:t>
      </w:r>
      <w:r w:rsidR="00934F5A">
        <w:t xml:space="preserve"> 200.3</w:t>
      </w:r>
      <w:r w:rsidR="00884B3A">
        <w:t>34</w:t>
      </w:r>
      <w:r w:rsidR="00DD104E">
        <w:t>, and (2) within the self-certification</w:t>
      </w:r>
      <w:r w:rsidR="00A01BF2">
        <w:t xml:space="preserve"> it</w:t>
      </w:r>
      <w:r w:rsidR="00DD104E">
        <w:t>:</w:t>
      </w:r>
      <w:r w:rsidR="00DD36B1">
        <w:rPr>
          <w:rStyle w:val="FootnoteReference"/>
        </w:rPr>
        <w:footnoteReference w:id="10"/>
      </w:r>
    </w:p>
    <w:p w14:paraId="0E589AE2" w14:textId="77777777" w:rsidR="00934F5A" w:rsidRDefault="00934F5A" w:rsidP="004B0BED">
      <w:pPr>
        <w:spacing w:after="0"/>
        <w:jc w:val="both"/>
      </w:pPr>
    </w:p>
    <w:p w14:paraId="762D2993" w14:textId="771D7790" w:rsidR="00934F5A" w:rsidRDefault="00934F5A" w:rsidP="00934F5A">
      <w:pPr>
        <w:spacing w:after="0"/>
        <w:ind w:left="720"/>
        <w:jc w:val="both"/>
      </w:pPr>
      <w:r>
        <w:t xml:space="preserve">(1) includes a justification for the </w:t>
      </w:r>
      <w:proofErr w:type="gramStart"/>
      <w:r>
        <w:t>threshold;</w:t>
      </w:r>
      <w:proofErr w:type="gramEnd"/>
      <w:r>
        <w:t xml:space="preserve"> </w:t>
      </w:r>
    </w:p>
    <w:p w14:paraId="6100CF4C" w14:textId="77777777" w:rsidR="00934F5A" w:rsidRDefault="00934F5A" w:rsidP="00934F5A">
      <w:pPr>
        <w:spacing w:after="0"/>
        <w:ind w:left="720"/>
        <w:jc w:val="both"/>
      </w:pPr>
      <w:r>
        <w:t xml:space="preserve">(2) clearly identifies the threshold; and </w:t>
      </w:r>
    </w:p>
    <w:p w14:paraId="7CC72B11" w14:textId="48BC360E" w:rsidR="00AD4635" w:rsidRDefault="00934F5A" w:rsidP="00934F5A">
      <w:pPr>
        <w:spacing w:after="0"/>
        <w:ind w:left="720"/>
        <w:jc w:val="both"/>
      </w:pPr>
      <w:r>
        <w:t>(3)</w:t>
      </w:r>
      <w:r w:rsidR="00EE2009">
        <w:t xml:space="preserve"> </w:t>
      </w:r>
      <w:r w:rsidR="00D36A50">
        <w:t xml:space="preserve">includes </w:t>
      </w:r>
      <w:r w:rsidR="00AD4635">
        <w:t>supporting documentation of any of the following:</w:t>
      </w:r>
    </w:p>
    <w:p w14:paraId="38E388A2" w14:textId="77777777" w:rsidR="00AD4635" w:rsidRDefault="00AD4635" w:rsidP="00934F5A">
      <w:pPr>
        <w:spacing w:after="0"/>
        <w:ind w:left="720"/>
        <w:jc w:val="both"/>
      </w:pPr>
    </w:p>
    <w:p w14:paraId="27DF4DD5" w14:textId="77777777" w:rsidR="00AD4635" w:rsidRDefault="00AD4635" w:rsidP="00AD4635">
      <w:pPr>
        <w:spacing w:after="0"/>
        <w:ind w:left="1500"/>
        <w:jc w:val="both"/>
      </w:pPr>
      <w:r>
        <w:t xml:space="preserve">(A) a qualification as a low-risk auditee, in accordance with the criteria in § 200.520 for the most recent </w:t>
      </w:r>
      <w:proofErr w:type="gramStart"/>
      <w:r>
        <w:t>audit;</w:t>
      </w:r>
      <w:proofErr w:type="gramEnd"/>
      <w:r>
        <w:t xml:space="preserve"> </w:t>
      </w:r>
    </w:p>
    <w:p w14:paraId="634D5904" w14:textId="3EA07B7A" w:rsidR="00962E85" w:rsidRDefault="00AD4635" w:rsidP="00AD4635">
      <w:pPr>
        <w:spacing w:after="0"/>
        <w:ind w:left="1500"/>
        <w:jc w:val="both"/>
      </w:pPr>
      <w:r>
        <w:t>(B) an annual internal institutional risk assessment to identify, mitigate, and manage financial risks; or</w:t>
      </w:r>
    </w:p>
    <w:p w14:paraId="2DADCC11" w14:textId="392DCD32" w:rsidR="00AD4635" w:rsidRDefault="00AD4635" w:rsidP="00AD4635">
      <w:pPr>
        <w:spacing w:after="0"/>
        <w:ind w:left="1500"/>
        <w:jc w:val="both"/>
      </w:pPr>
      <w:r>
        <w:t>(C) for public institutions, a higher threshold consistent with State law.</w:t>
      </w:r>
      <w:r w:rsidR="00D7595A">
        <w:rPr>
          <w:rStyle w:val="FootnoteReference"/>
        </w:rPr>
        <w:footnoteReference w:id="11"/>
      </w:r>
    </w:p>
    <w:p w14:paraId="11F5BF65" w14:textId="58007E1F" w:rsidR="00D5142D" w:rsidRDefault="00D5142D" w:rsidP="004B0BED">
      <w:pPr>
        <w:spacing w:after="0"/>
        <w:jc w:val="both"/>
      </w:pPr>
    </w:p>
    <w:p w14:paraId="1210263D" w14:textId="17BA7333" w:rsidR="002E4D8D" w:rsidRDefault="00BB225A" w:rsidP="004B0BED">
      <w:pPr>
        <w:spacing w:after="0"/>
        <w:ind w:firstLine="720"/>
        <w:jc w:val="both"/>
      </w:pPr>
      <w:r>
        <w:t xml:space="preserve">For certain </w:t>
      </w:r>
      <w:r w:rsidR="00544C7C">
        <w:t xml:space="preserve">categories of </w:t>
      </w:r>
      <w:r w:rsidR="005123D5">
        <w:t xml:space="preserve">local government </w:t>
      </w:r>
      <w:r>
        <w:t>contracts, North Carolina law establishes competitive bidding thresholds higher than those currently identified in the Federal Acquisition Regulation.</w:t>
      </w:r>
    </w:p>
    <w:p w14:paraId="27F8EA83" w14:textId="77777777" w:rsidR="002E4D8D" w:rsidRDefault="002E4D8D" w:rsidP="004B0BED">
      <w:pPr>
        <w:spacing w:after="0"/>
        <w:ind w:firstLine="720"/>
        <w:jc w:val="both"/>
      </w:pPr>
    </w:p>
    <w:p w14:paraId="555CE4FF" w14:textId="4D0AB760" w:rsidR="004B0BED" w:rsidRDefault="009C4242" w:rsidP="004B0BED">
      <w:pPr>
        <w:spacing w:after="0"/>
        <w:ind w:firstLine="720"/>
        <w:jc w:val="both"/>
      </w:pPr>
      <w:r>
        <w:t>Under North Carolina law</w:t>
      </w:r>
      <w:r w:rsidR="00D7595A">
        <w:t>,</w:t>
      </w:r>
      <w:r w:rsidR="00383F48">
        <w:t xml:space="preserve"> units of local government </w:t>
      </w:r>
      <w:r w:rsidR="00EE27DB">
        <w:t>need not engage in a competitive bidding process for either the purchase of “apparatus, supplies, materials, or equipment” or the purchase of “construction or repair work” unless the cost of</w:t>
      </w:r>
      <w:r w:rsidR="009A2CA0">
        <w:t xml:space="preserve"> each such purchase exceeds $30,000.</w:t>
      </w:r>
      <w:r w:rsidR="00C90FEE">
        <w:rPr>
          <w:rStyle w:val="FootnoteReference"/>
        </w:rPr>
        <w:footnoteReference w:id="12"/>
      </w:r>
      <w:r w:rsidR="009A2CA0">
        <w:t xml:space="preserve">  North Carolina law also does not require units of local government to </w:t>
      </w:r>
      <w:r w:rsidR="003E6AC4">
        <w:t>engage in a competitive bidding process for the purchase of services other than services subject to</w:t>
      </w:r>
      <w:r w:rsidR="00581083">
        <w:t xml:space="preserve"> the qualifications-based selection process set forth in</w:t>
      </w:r>
      <w:r w:rsidR="003E6AC4">
        <w:t xml:space="preserve"> Article 3D of Chapter 143 (the “Mini-Brooks Act”) (e.g., architectural, engineering, surveying, and certain construction services).</w:t>
      </w:r>
      <w:r w:rsidR="00741579">
        <w:rPr>
          <w:rStyle w:val="FootnoteReference"/>
        </w:rPr>
        <w:footnoteReference w:id="13"/>
      </w:r>
    </w:p>
    <w:p w14:paraId="49E4103F" w14:textId="77777777" w:rsidR="004B0BED" w:rsidRDefault="004B0BED" w:rsidP="004B0BED">
      <w:pPr>
        <w:spacing w:after="0"/>
        <w:ind w:firstLine="720"/>
        <w:jc w:val="both"/>
      </w:pPr>
    </w:p>
    <w:p w14:paraId="33DD13BE" w14:textId="5D7425C6" w:rsidR="003720C0" w:rsidRDefault="004B0BED" w:rsidP="004B0BED">
      <w:pPr>
        <w:spacing w:after="0"/>
        <w:ind w:firstLine="720"/>
        <w:jc w:val="both"/>
      </w:pPr>
      <w:r>
        <w:t>The</w:t>
      </w:r>
      <w:r w:rsidR="003720C0">
        <w:t xml:space="preserve"> new</w:t>
      </w:r>
      <w:r w:rsidR="0083672C">
        <w:t>ly promulgated</w:t>
      </w:r>
      <w:r w:rsidR="003720C0">
        <w:t xml:space="preserve"> </w:t>
      </w:r>
      <w:r w:rsidR="00D7595A">
        <w:t>micro-purchase threshold regulation</w:t>
      </w:r>
      <w:r w:rsidR="003720C0">
        <w:t xml:space="preserve"> suggests that</w:t>
      </w:r>
      <w:r w:rsidR="00544C7C">
        <w:t xml:space="preserve"> </w:t>
      </w:r>
      <w:r w:rsidR="003720C0">
        <w:t xml:space="preserve">a unit of local government </w:t>
      </w:r>
      <w:r w:rsidR="00205329">
        <w:t xml:space="preserve">in North Carolina </w:t>
      </w:r>
      <w:r w:rsidR="00742207">
        <w:t>may</w:t>
      </w:r>
      <w:r w:rsidR="003720C0">
        <w:t xml:space="preserve"> raise its micro-purchase threshold via </w:t>
      </w:r>
      <w:r>
        <w:t xml:space="preserve">annual </w:t>
      </w:r>
      <w:r w:rsidR="003720C0">
        <w:t xml:space="preserve">self-certification to $30,000 for </w:t>
      </w:r>
      <w:r w:rsidR="00544C7C">
        <w:t>the purchase of “apparatus, supplies, materials, or equipment” or the</w:t>
      </w:r>
      <w:r w:rsidR="00682CAB">
        <w:t xml:space="preserve"> purchase of “</w:t>
      </w:r>
      <w:r w:rsidR="003720C0">
        <w:t xml:space="preserve">construction </w:t>
      </w:r>
      <w:r w:rsidR="0083672C">
        <w:t>or</w:t>
      </w:r>
      <w:r w:rsidR="003720C0">
        <w:t xml:space="preserve"> repair </w:t>
      </w:r>
      <w:r w:rsidR="00682CAB">
        <w:t>work</w:t>
      </w:r>
      <w:r w:rsidR="003720C0">
        <w:t>,</w:t>
      </w:r>
      <w:r w:rsidR="00682CAB">
        <w:t>”</w:t>
      </w:r>
      <w:r w:rsidR="003720C0">
        <w:t xml:space="preserve"> and to $50,000 for service contracts other than those subject to the Mini-Brooks Act.</w:t>
      </w:r>
    </w:p>
    <w:p w14:paraId="5BBAF690" w14:textId="4A9F88DE" w:rsidR="00915E3F" w:rsidRDefault="00915E3F" w:rsidP="004B0BED">
      <w:pPr>
        <w:spacing w:after="0"/>
        <w:ind w:firstLine="720"/>
        <w:jc w:val="both"/>
      </w:pPr>
    </w:p>
    <w:p w14:paraId="655291E0" w14:textId="0A4406F5" w:rsidR="002E4D8D" w:rsidRDefault="00102315" w:rsidP="00AE5783">
      <w:pPr>
        <w:spacing w:after="0"/>
        <w:ind w:firstLine="720"/>
        <w:jc w:val="both"/>
      </w:pPr>
      <w:r>
        <w:t xml:space="preserve">State law </w:t>
      </w:r>
      <w:r w:rsidR="002E4D8D">
        <w:t xml:space="preserve">enables units of local government to exercise an exemption to the qualifications-based selection process in the Mini-Brooks Act, in writing, for </w:t>
      </w:r>
      <w:proofErr w:type="gramStart"/>
      <w:r w:rsidR="002E4D8D">
        <w:t>particular projects</w:t>
      </w:r>
      <w:proofErr w:type="gramEnd"/>
      <w:r w:rsidR="002E4D8D">
        <w:t xml:space="preserve"> where the aggregate cost of services does not exceed $50,000.</w:t>
      </w:r>
      <w:r>
        <w:rPr>
          <w:rStyle w:val="FootnoteReference"/>
        </w:rPr>
        <w:footnoteReference w:id="14"/>
      </w:r>
      <w:r w:rsidR="002E4D8D">
        <w:t xml:space="preserve">  G.S. 143-64.32 does not authorize use of a “blanket” exemption for all projects costing less than $50,000</w:t>
      </w:r>
      <w:r w:rsidR="009C4242">
        <w:t xml:space="preserve">—instead, </w:t>
      </w:r>
      <w:r w:rsidR="00E55CB5">
        <w:t xml:space="preserve">a unit must exercise an exemption on a project specific basis.  </w:t>
      </w:r>
      <w:r w:rsidR="00AE5783">
        <w:t>In</w:t>
      </w:r>
      <w:r w:rsidR="00E55CB5">
        <w:t xml:space="preserve"> conjunction with</w:t>
      </w:r>
      <w:r w:rsidR="00735197">
        <w:t xml:space="preserve"> the increased micro-purchase threshold flexibility in 2 C.F.R. 200.320(a)(1)(iv)(C), </w:t>
      </w:r>
      <w:r w:rsidR="00AE5783">
        <w:t>a unit</w:t>
      </w:r>
      <w:r w:rsidR="002E4D8D">
        <w:t xml:space="preserve"> </w:t>
      </w:r>
      <w:r w:rsidR="00AE5783">
        <w:t>could set a micro-purchase threshold of $50,000 for services subject to the Mini-Brooks Act</w:t>
      </w:r>
      <w:r w:rsidR="002E4D8D">
        <w:t xml:space="preserve"> </w:t>
      </w:r>
      <w:proofErr w:type="gramStart"/>
      <w:r w:rsidR="00B00F6E">
        <w:t>as long as</w:t>
      </w:r>
      <w:proofErr w:type="gramEnd"/>
      <w:r w:rsidR="00B00F6E">
        <w:t xml:space="preserve"> the unit exempts the project, in writing, from the qualifications-based selection process in the Mini-Brooks Act.  Such an action and higher threshold would be “consistent with State law.”</w:t>
      </w:r>
    </w:p>
    <w:p w14:paraId="12FC4D67" w14:textId="77777777" w:rsidR="002E4D8D" w:rsidRDefault="002E4D8D" w:rsidP="004B0BED">
      <w:pPr>
        <w:spacing w:after="0"/>
        <w:ind w:firstLine="720"/>
        <w:jc w:val="both"/>
      </w:pPr>
    </w:p>
    <w:p w14:paraId="2A853105" w14:textId="487C8A5E" w:rsidR="008A6FD0" w:rsidRDefault="008A6FD0" w:rsidP="008A6FD0">
      <w:pPr>
        <w:spacing w:after="0"/>
        <w:ind w:firstLine="720"/>
        <w:jc w:val="both"/>
      </w:pPr>
      <w:r>
        <w:t xml:space="preserve">Each unit should note that it is not required to raise </w:t>
      </w:r>
      <w:r w:rsidR="00B00F6E">
        <w:t>any</w:t>
      </w:r>
      <w:r>
        <w:t xml:space="preserve"> micro-purchase threshold above the generally applicable threshold in the Federal Acquisition Regulation,</w:t>
      </w:r>
      <w:r>
        <w:rPr>
          <w:rStyle w:val="FootnoteReference"/>
        </w:rPr>
        <w:footnoteReference w:id="15"/>
      </w:r>
      <w:r>
        <w:t xml:space="preserve"> but may do so if it chooses.  </w:t>
      </w:r>
    </w:p>
    <w:p w14:paraId="6216EDBA" w14:textId="719DA4C5" w:rsidR="004B0BED" w:rsidRDefault="004B0BED" w:rsidP="009D0D50">
      <w:pPr>
        <w:spacing w:after="0"/>
        <w:jc w:val="both"/>
      </w:pPr>
    </w:p>
    <w:p w14:paraId="47C71B1E" w14:textId="3B50FC45" w:rsidR="00273777" w:rsidRPr="00273777" w:rsidRDefault="00273777" w:rsidP="009D0D50">
      <w:pPr>
        <w:spacing w:after="0"/>
        <w:jc w:val="both"/>
        <w:rPr>
          <w:i/>
          <w:iCs/>
          <w:u w:val="single"/>
        </w:rPr>
      </w:pPr>
      <w:r w:rsidRPr="00273777">
        <w:rPr>
          <w:i/>
          <w:iCs/>
          <w:u w:val="single"/>
        </w:rPr>
        <w:t xml:space="preserve">Limitation on Applicability </w:t>
      </w:r>
    </w:p>
    <w:p w14:paraId="031F8B75" w14:textId="6C35B1FC" w:rsidR="00273777" w:rsidRDefault="00273777" w:rsidP="009D0D50">
      <w:pPr>
        <w:spacing w:after="0"/>
        <w:jc w:val="both"/>
      </w:pPr>
    </w:p>
    <w:p w14:paraId="573CC6D0" w14:textId="0AFFC369" w:rsidR="005C5E3C" w:rsidRDefault="00F50DAC" w:rsidP="009D0D50">
      <w:pPr>
        <w:spacing w:after="0"/>
        <w:jc w:val="both"/>
      </w:pPr>
      <w:r>
        <w:tab/>
        <w:t>If a unit adopts higher micro-purchase threshold</w:t>
      </w:r>
      <w:r w:rsidR="007971A1">
        <w:t>s</w:t>
      </w:r>
      <w:r>
        <w:t>, it may not apply such threshold</w:t>
      </w:r>
      <w:r w:rsidR="007971A1">
        <w:t>s</w:t>
      </w:r>
      <w:r>
        <w:t xml:space="preserve"> </w:t>
      </w:r>
      <w:r w:rsidR="007971A1">
        <w:t>to</w:t>
      </w:r>
      <w:r w:rsidR="00727BCB">
        <w:t xml:space="preserve"> Federal financial assistance awards issued </w:t>
      </w:r>
      <w:r w:rsidR="00884B3A">
        <w:t xml:space="preserve">to the unit </w:t>
      </w:r>
      <w:r w:rsidR="00727BCB">
        <w:t>prior to November 12, 2020 (the effective date of the</w:t>
      </w:r>
      <w:r w:rsidR="00C219A6">
        <w:t xml:space="preserve"> applicable</w:t>
      </w:r>
      <w:r w:rsidR="00727BCB">
        <w:t xml:space="preserve"> revisions).</w:t>
      </w:r>
      <w:r w:rsidR="00727BCB">
        <w:rPr>
          <w:rStyle w:val="FootnoteReference"/>
        </w:rPr>
        <w:footnoteReference w:id="16"/>
      </w:r>
      <w:r w:rsidR="00B3332F">
        <w:t xml:space="preserve">  A unit</w:t>
      </w:r>
      <w:r w:rsidR="00BE17C9">
        <w:t>’s newly adopted micro-purchase threshold can apply to Federal financial assistance awards issued after that date.</w:t>
      </w:r>
      <w:r w:rsidR="00455FCC">
        <w:t xml:space="preserve">  </w:t>
      </w:r>
      <w:r w:rsidR="005C5E3C">
        <w:tab/>
        <w:t>A unit must adopt the self-certification on an annual basis</w:t>
      </w:r>
      <w:r w:rsidR="00455FCC">
        <w:t>, and units making a self-certification should do so once per fiscal year.</w:t>
      </w:r>
    </w:p>
    <w:p w14:paraId="0CC297CA" w14:textId="77777777" w:rsidR="00F50DAC" w:rsidRDefault="00F50DAC" w:rsidP="009D0D50">
      <w:pPr>
        <w:spacing w:after="0"/>
        <w:jc w:val="both"/>
      </w:pPr>
    </w:p>
    <w:p w14:paraId="326FFB24" w14:textId="01AA6FF7" w:rsidR="00ED0A33" w:rsidRDefault="00ED0A33" w:rsidP="009D0D50">
      <w:pPr>
        <w:spacing w:after="0"/>
        <w:jc w:val="both"/>
        <w:rPr>
          <w:i/>
          <w:iCs/>
          <w:u w:val="single"/>
        </w:rPr>
      </w:pPr>
      <w:r>
        <w:rPr>
          <w:i/>
          <w:iCs/>
          <w:u w:val="single"/>
        </w:rPr>
        <w:t>Method of Adoption</w:t>
      </w:r>
    </w:p>
    <w:p w14:paraId="2F2EB9D7" w14:textId="6A9F2DDA" w:rsidR="00ED0A33" w:rsidRDefault="00ED0A33" w:rsidP="009D0D50">
      <w:pPr>
        <w:spacing w:after="0"/>
        <w:jc w:val="both"/>
        <w:rPr>
          <w:i/>
          <w:iCs/>
          <w:u w:val="single"/>
        </w:rPr>
      </w:pPr>
    </w:p>
    <w:p w14:paraId="363C0831" w14:textId="7FF47BB1" w:rsidR="00AF0DC8" w:rsidRDefault="00011666" w:rsidP="009D0D50">
      <w:pPr>
        <w:spacing w:after="0"/>
        <w:jc w:val="both"/>
      </w:pPr>
      <w:r>
        <w:tab/>
        <w:t xml:space="preserve">The revisions to the Uniform Guidance do not </w:t>
      </w:r>
      <w:r w:rsidR="0010356F">
        <w:t xml:space="preserve">explicitly </w:t>
      </w:r>
      <w:r w:rsidR="003C5362">
        <w:t xml:space="preserve">require that a non-Federal entity’s governing board </w:t>
      </w:r>
      <w:r w:rsidR="0010356F">
        <w:t>self-certify a higher micro-purchase threshold in an adopted resolution.</w:t>
      </w:r>
      <w:r w:rsidR="0064504E">
        <w:t xml:space="preserve">  The non-Federal entity might take such action in the form of a filed memorandum.  </w:t>
      </w:r>
      <w:r w:rsidR="0010356F">
        <w:t>A</w:t>
      </w:r>
      <w:r w:rsidR="00AF0DC8">
        <w:t>s a best practice,</w:t>
      </w:r>
      <w:r w:rsidR="00455FCC">
        <w:t xml:space="preserve"> however,</w:t>
      </w:r>
      <w:r w:rsidR="00AF0DC8">
        <w:t xml:space="preserve"> units should obtain governing board approval of this change</w:t>
      </w:r>
      <w:r w:rsidR="00515CA3">
        <w:t>, as the revision</w:t>
      </w:r>
      <w:r w:rsidR="00AF0DC8">
        <w:t xml:space="preserve"> necessarily </w:t>
      </w:r>
      <w:r w:rsidR="00515CA3">
        <w:t>requires</w:t>
      </w:r>
      <w:r w:rsidR="00AF0DC8">
        <w:t xml:space="preserve"> a revision to a unit’s </w:t>
      </w:r>
      <w:r w:rsidR="0064504E">
        <w:t xml:space="preserve">written </w:t>
      </w:r>
      <w:r w:rsidR="00AF0DC8">
        <w:t>purchasing polic</w:t>
      </w:r>
      <w:r w:rsidR="0064504E">
        <w:t>ies</w:t>
      </w:r>
      <w:r w:rsidR="00AF0DC8">
        <w:t>.</w:t>
      </w:r>
    </w:p>
    <w:p w14:paraId="1F525192" w14:textId="34101D17" w:rsidR="007B79BC" w:rsidRDefault="007B79BC" w:rsidP="009D0D50">
      <w:pPr>
        <w:spacing w:after="0"/>
        <w:jc w:val="both"/>
      </w:pPr>
    </w:p>
    <w:p w14:paraId="6938C708" w14:textId="1F51CED3" w:rsidR="007B79BC" w:rsidRPr="00011666" w:rsidRDefault="007B79BC" w:rsidP="009D0D50">
      <w:pPr>
        <w:spacing w:after="0"/>
        <w:jc w:val="both"/>
      </w:pPr>
      <w:r>
        <w:tab/>
        <w:t xml:space="preserve">The Uniform Guidance continues to require non-Federal entities to </w:t>
      </w:r>
      <w:r w:rsidR="00DA6343">
        <w:t>have and use</w:t>
      </w:r>
      <w:r>
        <w:t xml:space="preserve"> their own documented procurement policies, consistent with </w:t>
      </w:r>
      <w:r w:rsidR="00DA6343">
        <w:t>state law, local policy, and the procurement standards in Subpart D of the Uniform Guidance</w:t>
      </w:r>
      <w:r>
        <w:t xml:space="preserve">.  Therefore, any change </w:t>
      </w:r>
      <w:r w:rsidR="00DA6343">
        <w:t xml:space="preserve">made pursuant to a self-certifying resolution </w:t>
      </w:r>
      <w:r w:rsidR="00D21B32">
        <w:t>must</w:t>
      </w:r>
      <w:r>
        <w:t xml:space="preserve"> be integrated into a unit’s generally applicable purchasing policy.</w:t>
      </w:r>
    </w:p>
    <w:p w14:paraId="09E3174C" w14:textId="77777777" w:rsidR="00011666" w:rsidRDefault="00011666" w:rsidP="009D0D50">
      <w:pPr>
        <w:spacing w:after="0"/>
        <w:jc w:val="both"/>
        <w:rPr>
          <w:i/>
          <w:iCs/>
          <w:u w:val="single"/>
        </w:rPr>
      </w:pPr>
    </w:p>
    <w:p w14:paraId="3E72D894" w14:textId="10E4E0B8" w:rsidR="009D0D50" w:rsidRPr="00C17B93" w:rsidRDefault="009D0D50" w:rsidP="009D0D50">
      <w:pPr>
        <w:spacing w:after="0"/>
        <w:jc w:val="both"/>
        <w:rPr>
          <w:i/>
          <w:iCs/>
          <w:u w:val="single"/>
        </w:rPr>
      </w:pPr>
      <w:r w:rsidRPr="00C17B93">
        <w:rPr>
          <w:i/>
          <w:iCs/>
          <w:u w:val="single"/>
        </w:rPr>
        <w:t>Self-Certification Resolution Template</w:t>
      </w:r>
    </w:p>
    <w:p w14:paraId="21DEE241" w14:textId="77777777" w:rsidR="009D0D50" w:rsidRDefault="009D0D50" w:rsidP="009D0D50">
      <w:pPr>
        <w:spacing w:after="0"/>
        <w:jc w:val="both"/>
      </w:pPr>
    </w:p>
    <w:p w14:paraId="01539DC3" w14:textId="109946BC" w:rsidR="003720C0" w:rsidRDefault="00F9166F" w:rsidP="00A3582A">
      <w:pPr>
        <w:spacing w:after="0"/>
        <w:jc w:val="both"/>
      </w:pPr>
      <w:r>
        <w:t xml:space="preserve">This document contains </w:t>
      </w:r>
      <w:r w:rsidR="006B095E">
        <w:t>a</w:t>
      </w:r>
      <w:r>
        <w:t xml:space="preserve"> sample resolution that units can consider</w:t>
      </w:r>
      <w:r w:rsidR="00A3582A">
        <w:t xml:space="preserve"> for adoption</w:t>
      </w:r>
      <w:r w:rsidR="006D5BB3">
        <w:t>.</w:t>
      </w:r>
      <w:r w:rsidR="006B095E">
        <w:t xml:space="preserve">  </w:t>
      </w:r>
      <w:r w:rsidR="00196D37">
        <w:t>Note that all local government entities</w:t>
      </w:r>
      <w:r w:rsidR="0020460D">
        <w:t xml:space="preserve"> </w:t>
      </w:r>
      <w:r w:rsidR="00196D37">
        <w:t>are eligible to raise the micro-purchase thresholds to the levels identified belo</w:t>
      </w:r>
      <w:r w:rsidR="005E1F31">
        <w:t>w, which are consistent with North Carolina law:</w:t>
      </w:r>
    </w:p>
    <w:p w14:paraId="6025AC2C" w14:textId="77777777" w:rsidR="00823B7D" w:rsidRDefault="00823B7D" w:rsidP="00A3582A">
      <w:pPr>
        <w:spacing w:after="0"/>
        <w:jc w:val="both"/>
      </w:pPr>
    </w:p>
    <w:p w14:paraId="735FFC77" w14:textId="4D093ADF" w:rsidR="007A7378" w:rsidRDefault="007A7378" w:rsidP="005E1F31">
      <w:pPr>
        <w:pStyle w:val="ListParagraph"/>
        <w:ind w:left="360" w:firstLine="720"/>
        <w:jc w:val="both"/>
      </w:pPr>
      <w:r>
        <w:t>A.</w:t>
      </w:r>
      <w:r>
        <w:tab/>
        <w:t>$30,000, for the purchase of “apparatus, supplies, materials, or equipment”; and</w:t>
      </w:r>
    </w:p>
    <w:p w14:paraId="5C7D9C2F" w14:textId="6CBCE880" w:rsidR="007A7378" w:rsidRDefault="007A7378" w:rsidP="005E1F31">
      <w:pPr>
        <w:pStyle w:val="ListParagraph"/>
        <w:ind w:left="360" w:firstLine="720"/>
        <w:jc w:val="both"/>
      </w:pPr>
      <w:r>
        <w:t>B.</w:t>
      </w:r>
      <w:r>
        <w:tab/>
        <w:t>$30,000, for the purchase of “construction or repair work”; and</w:t>
      </w:r>
    </w:p>
    <w:p w14:paraId="0CDD5E37" w14:textId="6DE36E7E" w:rsidR="007A7378" w:rsidRDefault="007A7378" w:rsidP="005E1F31">
      <w:pPr>
        <w:pStyle w:val="ListParagraph"/>
        <w:ind w:left="360" w:firstLine="720"/>
        <w:jc w:val="both"/>
      </w:pPr>
      <w:r>
        <w:t>C.</w:t>
      </w:r>
      <w:r>
        <w:tab/>
        <w:t>$50,000, for the purchase of services not subject to competitive bidding under North Carolina law</w:t>
      </w:r>
      <w:r w:rsidR="00DA6343">
        <w:t>; and</w:t>
      </w:r>
    </w:p>
    <w:p w14:paraId="253A11A1" w14:textId="633B5F14" w:rsidR="007A7378" w:rsidRDefault="00F3325D" w:rsidP="005E1F31">
      <w:pPr>
        <w:pStyle w:val="ListParagraph"/>
        <w:ind w:left="360" w:firstLine="720"/>
        <w:jc w:val="both"/>
      </w:pPr>
      <w:r>
        <w:t>D.</w:t>
      </w:r>
      <w:r>
        <w:tab/>
        <w:t>$50,000</w:t>
      </w:r>
      <w:r w:rsidR="00DA6343">
        <w:t>,</w:t>
      </w:r>
      <w:r>
        <w:t xml:space="preserve"> for the purchase of services subject to the Mini-Brooks Act (Article 3D of Chapter 143), but only where the unit of local government exercises</w:t>
      </w:r>
      <w:r w:rsidR="00DA6343">
        <w:t>, in writing,</w:t>
      </w:r>
      <w:r>
        <w:t xml:space="preserve"> an exemption</w:t>
      </w:r>
      <w:r w:rsidR="00DA6343">
        <w:t xml:space="preserve"> </w:t>
      </w:r>
      <w:r>
        <w:t xml:space="preserve">to the Mini-Brooks Act </w:t>
      </w:r>
      <w:r w:rsidR="00D47090">
        <w:t xml:space="preserve">for a particular project </w:t>
      </w:r>
      <w:r>
        <w:t>pursuant to G.S. 143-64.32.</w:t>
      </w:r>
      <w:r w:rsidR="00DA6343">
        <w:t xml:space="preserve">  Where the unit does not exercise an exemption</w:t>
      </w:r>
      <w:r w:rsidR="00F524C6">
        <w:t xml:space="preserve"> </w:t>
      </w:r>
      <w:r w:rsidR="001A7A1F">
        <w:t xml:space="preserve">to the Mini-Brooks Act </w:t>
      </w:r>
      <w:r w:rsidR="00F524C6">
        <w:t>for a particular project, the micro-purchase threshold shall be $</w:t>
      </w:r>
      <w:r w:rsidR="009D4C0B">
        <w:t>10,000 (as adjusted periodically for inflation pursuant to 48 CFR Subpart 2.1)</w:t>
      </w:r>
      <w:r w:rsidR="00F524C6">
        <w:t>.</w:t>
      </w:r>
    </w:p>
    <w:p w14:paraId="3AE66975" w14:textId="77777777" w:rsidR="00F3325D" w:rsidRDefault="00F3325D" w:rsidP="00A3582A">
      <w:pPr>
        <w:pStyle w:val="ListParagraph"/>
        <w:ind w:firstLine="720"/>
        <w:jc w:val="both"/>
      </w:pPr>
    </w:p>
    <w:p w14:paraId="43E63F24" w14:textId="0A9D77AC" w:rsidR="009D0D50" w:rsidRPr="0019256D" w:rsidRDefault="009D0D50" w:rsidP="00A3582A">
      <w:pPr>
        <w:spacing w:after="0"/>
        <w:jc w:val="both"/>
        <w:rPr>
          <w:i/>
          <w:iCs/>
          <w:u w:val="single"/>
        </w:rPr>
      </w:pPr>
      <w:r w:rsidRPr="0019256D">
        <w:rPr>
          <w:i/>
          <w:iCs/>
          <w:u w:val="single"/>
        </w:rPr>
        <w:t>Contact and Questions</w:t>
      </w:r>
    </w:p>
    <w:p w14:paraId="163AC9EF" w14:textId="77777777" w:rsidR="00FE3078" w:rsidRPr="009D0D50" w:rsidRDefault="00FE3078" w:rsidP="00A3582A">
      <w:pPr>
        <w:spacing w:after="0"/>
        <w:jc w:val="both"/>
        <w:rPr>
          <w:i/>
          <w:iCs/>
        </w:rPr>
      </w:pPr>
    </w:p>
    <w:p w14:paraId="00739D59" w14:textId="292C9DF3" w:rsidR="004B0BED" w:rsidRDefault="004B0BED" w:rsidP="00A3582A">
      <w:pPr>
        <w:jc w:val="both"/>
      </w:pPr>
      <w:r>
        <w:tab/>
        <w:t xml:space="preserve">Please contact Connor Crews at the UNC School of Government (919-962-1575, </w:t>
      </w:r>
      <w:hyperlink r:id="rId8" w:history="1">
        <w:r w:rsidRPr="00556E90">
          <w:rPr>
            <w:rStyle w:val="Hyperlink"/>
          </w:rPr>
          <w:t>ccrews@sog.unc.edu</w:t>
        </w:r>
      </w:hyperlink>
      <w:r>
        <w:t>) with questions or suggested revisions</w:t>
      </w:r>
      <w:r w:rsidR="00CC21A8">
        <w:t xml:space="preserve"> to </w:t>
      </w:r>
      <w:r w:rsidR="00196D37">
        <w:t>this document</w:t>
      </w:r>
      <w:r w:rsidR="00BF2EF2">
        <w:t>.</w:t>
      </w:r>
    </w:p>
    <w:p w14:paraId="19505BD1" w14:textId="77777777" w:rsidR="004B0BED" w:rsidRDefault="004B0BED" w:rsidP="006A5E71">
      <w:pPr>
        <w:spacing w:after="0"/>
      </w:pPr>
    </w:p>
    <w:p w14:paraId="229BF6F8" w14:textId="77777777" w:rsidR="006A5E71" w:rsidRDefault="006A5E71" w:rsidP="00A11629">
      <w:pPr>
        <w:spacing w:after="0"/>
        <w:jc w:val="center"/>
        <w:rPr>
          <w:b/>
          <w:bCs/>
        </w:rPr>
        <w:sectPr w:rsidR="006A5E71">
          <w:headerReference w:type="default" r:id="rId9"/>
          <w:footerReference w:type="default" r:id="rId10"/>
          <w:pgSz w:w="12240" w:h="15840"/>
          <w:pgMar w:top="1440" w:right="1440" w:bottom="1440" w:left="1440" w:header="720" w:footer="720" w:gutter="0"/>
          <w:cols w:space="720"/>
          <w:docGrid w:linePitch="360"/>
        </w:sectPr>
      </w:pPr>
    </w:p>
    <w:p w14:paraId="2C32951D" w14:textId="73296D3D" w:rsidR="00DC1665" w:rsidRDefault="001E3126" w:rsidP="00A11629">
      <w:pPr>
        <w:spacing w:after="0"/>
        <w:jc w:val="center"/>
        <w:rPr>
          <w:b/>
          <w:bCs/>
        </w:rPr>
      </w:pPr>
      <w:r>
        <w:rPr>
          <w:b/>
          <w:bCs/>
        </w:rPr>
        <w:lastRenderedPageBreak/>
        <w:t>RESOLUTION</w:t>
      </w:r>
      <w:r w:rsidR="00A11629">
        <w:rPr>
          <w:b/>
          <w:bCs/>
        </w:rPr>
        <w:t xml:space="preserve"> </w:t>
      </w:r>
    </w:p>
    <w:p w14:paraId="49369553" w14:textId="07820DD9" w:rsidR="001E3126" w:rsidRDefault="001E3126" w:rsidP="00A11629">
      <w:pPr>
        <w:spacing w:after="0"/>
        <w:jc w:val="center"/>
        <w:rPr>
          <w:b/>
          <w:bCs/>
        </w:rPr>
      </w:pPr>
      <w:r>
        <w:rPr>
          <w:b/>
          <w:bCs/>
        </w:rPr>
        <w:t>OF</w:t>
      </w:r>
      <w:r w:rsidR="002178D7">
        <w:rPr>
          <w:b/>
          <w:bCs/>
        </w:rPr>
        <w:t xml:space="preserve"> </w:t>
      </w:r>
    </w:p>
    <w:p w14:paraId="58831BD2" w14:textId="41C8EA57" w:rsidR="00902702" w:rsidRDefault="00E375C3" w:rsidP="00A11629">
      <w:pPr>
        <w:spacing w:after="0"/>
        <w:jc w:val="center"/>
        <w:rPr>
          <w:b/>
          <w:bCs/>
          <w:i/>
          <w:iCs/>
        </w:rPr>
      </w:pPr>
      <w:r>
        <w:rPr>
          <w:b/>
          <w:bCs/>
        </w:rPr>
        <w:t>[</w:t>
      </w:r>
      <w:r>
        <w:rPr>
          <w:b/>
          <w:bCs/>
          <w:i/>
          <w:iCs/>
        </w:rPr>
        <w:t>GOVERNING BOARD</w:t>
      </w:r>
      <w:r w:rsidR="00902702">
        <w:rPr>
          <w:b/>
          <w:bCs/>
        </w:rPr>
        <w:t>]</w:t>
      </w:r>
      <w:r w:rsidR="00902702">
        <w:rPr>
          <w:rStyle w:val="FootnoteReference"/>
          <w:b/>
          <w:bCs/>
        </w:rPr>
        <w:footnoteReference w:id="17"/>
      </w:r>
      <w:r>
        <w:rPr>
          <w:b/>
          <w:bCs/>
          <w:i/>
          <w:iCs/>
        </w:rPr>
        <w:t xml:space="preserve"> </w:t>
      </w:r>
    </w:p>
    <w:p w14:paraId="091F9C15" w14:textId="38CF1D9B" w:rsidR="00A11629" w:rsidRPr="00E375C3" w:rsidRDefault="00E375C3" w:rsidP="00A11629">
      <w:pPr>
        <w:spacing w:after="0"/>
        <w:jc w:val="center"/>
        <w:rPr>
          <w:b/>
          <w:bCs/>
        </w:rPr>
      </w:pPr>
      <w:r>
        <w:rPr>
          <w:b/>
          <w:bCs/>
          <w:i/>
          <w:iCs/>
        </w:rPr>
        <w:t xml:space="preserve">OF </w:t>
      </w:r>
      <w:r w:rsidR="00902702">
        <w:rPr>
          <w:b/>
          <w:bCs/>
          <w:i/>
          <w:iCs/>
        </w:rPr>
        <w:t>[</w:t>
      </w:r>
      <w:r>
        <w:rPr>
          <w:b/>
          <w:bCs/>
          <w:i/>
          <w:iCs/>
        </w:rPr>
        <w:t>UNIT</w:t>
      </w:r>
      <w:r>
        <w:rPr>
          <w:b/>
          <w:bCs/>
        </w:rPr>
        <w:t>]</w:t>
      </w:r>
    </w:p>
    <w:p w14:paraId="6902F04B" w14:textId="0AFE5724" w:rsidR="00A11629" w:rsidRDefault="00DF3FAC" w:rsidP="00A11629">
      <w:pPr>
        <w:spacing w:after="0"/>
        <w:jc w:val="center"/>
        <w:rPr>
          <w:b/>
          <w:bCs/>
        </w:rPr>
      </w:pPr>
      <w:r>
        <w:rPr>
          <w:b/>
          <w:bCs/>
        </w:rPr>
        <w:t>AUTHORIZING INCREASE IN MICRO-PURCHASE THRESHOLD</w:t>
      </w:r>
    </w:p>
    <w:p w14:paraId="72BF46D6" w14:textId="77777777" w:rsidR="005356F0" w:rsidRDefault="005356F0" w:rsidP="0069649B">
      <w:pPr>
        <w:jc w:val="center"/>
      </w:pPr>
    </w:p>
    <w:p w14:paraId="4B0A1BFB" w14:textId="25636FA8" w:rsidR="0069649B" w:rsidRPr="0069649B" w:rsidRDefault="0069649B" w:rsidP="0069649B">
      <w:pPr>
        <w:jc w:val="center"/>
        <w:rPr>
          <w:u w:val="single"/>
        </w:rPr>
      </w:pPr>
      <w:r>
        <w:t>* * * * * * * * *</w:t>
      </w:r>
    </w:p>
    <w:p w14:paraId="48464C01" w14:textId="49AAE385" w:rsidR="001E3126" w:rsidRDefault="001E3126" w:rsidP="0069649B">
      <w:pPr>
        <w:ind w:firstLine="720"/>
        <w:jc w:val="both"/>
      </w:pPr>
      <w:r w:rsidRPr="001A5405">
        <w:rPr>
          <w:b/>
          <w:bCs/>
        </w:rPr>
        <w:t>WHEREAS</w:t>
      </w:r>
      <w:r>
        <w:t xml:space="preserve">, </w:t>
      </w:r>
      <w:r w:rsidR="00D651D3">
        <w:t xml:space="preserve">from time to time, </w:t>
      </w:r>
      <w:r>
        <w:t xml:space="preserve">the </w:t>
      </w:r>
      <w:r w:rsidR="000F271C">
        <w:t>[</w:t>
      </w:r>
      <w:r w:rsidR="00695D0B">
        <w:rPr>
          <w:i/>
          <w:iCs/>
        </w:rPr>
        <w:t xml:space="preserve">name of </w:t>
      </w:r>
      <w:r w:rsidR="00E375C3">
        <w:rPr>
          <w:i/>
          <w:iCs/>
        </w:rPr>
        <w:t>the unit</w:t>
      </w:r>
      <w:r w:rsidR="000F271C">
        <w:t>]</w:t>
      </w:r>
      <w:r w:rsidR="00D55F51">
        <w:t xml:space="preserve"> (the “[</w:t>
      </w:r>
      <w:r w:rsidR="00D55F51" w:rsidRPr="00D55F51">
        <w:rPr>
          <w:i/>
          <w:iCs/>
        </w:rPr>
        <w:t>Unit</w:t>
      </w:r>
      <w:r w:rsidR="00D55F51">
        <w:t>]”</w:t>
      </w:r>
      <w:r w:rsidR="000F1D0F">
        <w:rPr>
          <w:rStyle w:val="FootnoteReference"/>
        </w:rPr>
        <w:footnoteReference w:id="18"/>
      </w:r>
      <w:r w:rsidR="00D55F51">
        <w:t>)</w:t>
      </w:r>
      <w:r w:rsidR="000F271C">
        <w:t xml:space="preserve"> purchases goods and services using federal </w:t>
      </w:r>
      <w:r w:rsidR="00A02979">
        <w:t>funding</w:t>
      </w:r>
      <w:r w:rsidR="000F271C">
        <w:t xml:space="preserve"> subject to the procurement standards in 2 C.F.R. Part 200</w:t>
      </w:r>
      <w:r w:rsidR="00EB33AB">
        <w:t>, Subpart D</w:t>
      </w:r>
      <w:r>
        <w:t>; and</w:t>
      </w:r>
    </w:p>
    <w:p w14:paraId="165F030A" w14:textId="05A7B4A3" w:rsidR="000F271C" w:rsidRDefault="000F271C" w:rsidP="000F271C">
      <w:pPr>
        <w:ind w:firstLine="720"/>
        <w:jc w:val="both"/>
      </w:pPr>
      <w:proofErr w:type="gramStart"/>
      <w:r w:rsidRPr="001A5405">
        <w:rPr>
          <w:b/>
          <w:bCs/>
        </w:rPr>
        <w:t>WHEREAS</w:t>
      </w:r>
      <w:r>
        <w:t>,</w:t>
      </w:r>
      <w:proofErr w:type="gramEnd"/>
      <w:r>
        <w:t xml:space="preserve"> the</w:t>
      </w:r>
      <w:r w:rsidR="00D55F51">
        <w:t xml:space="preserve"> [</w:t>
      </w:r>
      <w:r w:rsidR="00D55F51" w:rsidRPr="00D55F51">
        <w:rPr>
          <w:i/>
          <w:iCs/>
        </w:rPr>
        <w:t>Unit</w:t>
      </w:r>
      <w:r w:rsidR="00D55F51">
        <w:t>]’s</w:t>
      </w:r>
      <w:r>
        <w:t xml:space="preserve"> procurement of such goods and services is subject to [</w:t>
      </w:r>
      <w:r w:rsidR="00695D0B">
        <w:rPr>
          <w:i/>
          <w:iCs/>
        </w:rPr>
        <w:t>name of purchasing policy</w:t>
      </w:r>
      <w:r>
        <w:t>], as most recently amended on [</w:t>
      </w:r>
      <w:r w:rsidR="00A02979">
        <w:rPr>
          <w:i/>
          <w:iCs/>
        </w:rPr>
        <w:t>date of most recent amendment to purchasing policy</w:t>
      </w:r>
      <w:r>
        <w:t>]; and</w:t>
      </w:r>
    </w:p>
    <w:p w14:paraId="02014C63" w14:textId="4B4E6426" w:rsidR="00D651D3" w:rsidRDefault="00D651D3" w:rsidP="00D651D3">
      <w:pPr>
        <w:jc w:val="both"/>
      </w:pPr>
      <w:r>
        <w:tab/>
      </w:r>
      <w:proofErr w:type="gramStart"/>
      <w:r w:rsidRPr="001A5405">
        <w:rPr>
          <w:b/>
          <w:bCs/>
        </w:rPr>
        <w:t>WHEREAS</w:t>
      </w:r>
      <w:r>
        <w:t>,</w:t>
      </w:r>
      <w:proofErr w:type="gramEnd"/>
      <w:r>
        <w:t xml:space="preserve"> the [</w:t>
      </w:r>
      <w:r>
        <w:rPr>
          <w:i/>
          <w:iCs/>
        </w:rPr>
        <w:t>Unit</w:t>
      </w:r>
      <w:r>
        <w:t>] is a non-Federal entity under the definition set forth in 2 C.F.R. § 200.1; and</w:t>
      </w:r>
    </w:p>
    <w:p w14:paraId="66688AC6" w14:textId="5CBB7CA4" w:rsidR="00A33B20" w:rsidRDefault="00A33B20" w:rsidP="00A33B20">
      <w:pPr>
        <w:jc w:val="both"/>
      </w:pPr>
      <w:r>
        <w:tab/>
      </w:r>
      <w:r w:rsidRPr="001A5405">
        <w:rPr>
          <w:b/>
          <w:bCs/>
        </w:rPr>
        <w:t>WHEREAS</w:t>
      </w:r>
      <w:r>
        <w:t>, pursuant to 2 C.F.R. 200.320(a)</w:t>
      </w:r>
      <w:r w:rsidR="009D7BD7">
        <w:t>(1)</w:t>
      </w:r>
      <w:r>
        <w:t xml:space="preserve">(ii), a non-Federal entity may award micro-purchases without soliciting competitive price or rate quotations if the non-Federal entity considers the price to be reasonable based on research, experience, purchase history or other information and documents that the non-Federal entity </w:t>
      </w:r>
      <w:proofErr w:type="gramStart"/>
      <w:r>
        <w:t>files accordingly;</w:t>
      </w:r>
      <w:proofErr w:type="gramEnd"/>
      <w:r>
        <w:t xml:space="preserve"> and</w:t>
      </w:r>
    </w:p>
    <w:p w14:paraId="09CB57B8" w14:textId="6278081E" w:rsidR="0013605E" w:rsidRDefault="0013605E" w:rsidP="00A33B20">
      <w:pPr>
        <w:ind w:firstLine="720"/>
        <w:jc w:val="both"/>
      </w:pPr>
      <w:r w:rsidRPr="001A5405">
        <w:rPr>
          <w:b/>
          <w:bCs/>
        </w:rPr>
        <w:t>WHEREAS</w:t>
      </w:r>
      <w:r>
        <w:t>, pursuant to 2 C.F.R. 200.320(a)</w:t>
      </w:r>
      <w:r w:rsidR="003120C3">
        <w:t>(1)</w:t>
      </w:r>
      <w:r>
        <w:t xml:space="preserve">(iii), a non-Federal entity </w:t>
      </w:r>
      <w:r w:rsidR="00762C57">
        <w:t>is responsible for determining and documenting an appropriate micro-purchase threshold based on internal controls, an evaluation of risk, and its documented procurement procedures</w:t>
      </w:r>
      <w:r>
        <w:t>; and</w:t>
      </w:r>
    </w:p>
    <w:p w14:paraId="67A32C1F" w14:textId="361AB89C" w:rsidR="00AC2AF8" w:rsidRDefault="001E3126" w:rsidP="001A5405">
      <w:pPr>
        <w:jc w:val="both"/>
      </w:pPr>
      <w:r>
        <w:tab/>
      </w:r>
      <w:r w:rsidRPr="001A5405">
        <w:rPr>
          <w:b/>
          <w:bCs/>
        </w:rPr>
        <w:t>WHEREAS</w:t>
      </w:r>
      <w:r>
        <w:t xml:space="preserve">, </w:t>
      </w:r>
      <w:r w:rsidR="00AC2AF8">
        <w:t>pursuant to 2 C.F.R. § 200.320(a)(1)(iv), a non-Federal entity may self-certify</w:t>
      </w:r>
      <w:r w:rsidR="00FD201F">
        <w:t xml:space="preserve"> on an annual basis</w:t>
      </w:r>
      <w:r w:rsidR="00AC2AF8">
        <w:t xml:space="preserve"> a micro-purchase threshold not to exceed $50,000</w:t>
      </w:r>
      <w:r w:rsidR="00B92A54">
        <w:t xml:space="preserve"> and maintain documentation to be made available to a Federal awarding agency and auditors in accordance with 2 C.F.R. § 200.</w:t>
      </w:r>
      <w:r w:rsidR="003A74A5">
        <w:t>334</w:t>
      </w:r>
      <w:r w:rsidR="00AC2AF8">
        <w:t>; and</w:t>
      </w:r>
    </w:p>
    <w:p w14:paraId="2522AFE8" w14:textId="00F292A7" w:rsidR="00AC2AF8" w:rsidRDefault="00AC2AF8" w:rsidP="001A5405">
      <w:pPr>
        <w:jc w:val="both"/>
      </w:pPr>
      <w:r>
        <w:tab/>
      </w:r>
      <w:r>
        <w:rPr>
          <w:b/>
          <w:bCs/>
        </w:rPr>
        <w:t>WHEREAS</w:t>
      </w:r>
      <w:r>
        <w:t xml:space="preserve">, </w:t>
      </w:r>
      <w:r w:rsidR="000F271C">
        <w:t>pursuant to 2 C.F.R. § 200.320(</w:t>
      </w:r>
      <w:r w:rsidR="003A74A5">
        <w:t xml:space="preserve">a)(1)(iv), </w:t>
      </w:r>
      <w:r w:rsidR="00FE7438">
        <w:t>such</w:t>
      </w:r>
      <w:r w:rsidR="003A74A5">
        <w:t xml:space="preserve"> self-certification must include</w:t>
      </w:r>
      <w:r w:rsidR="00DE0B4B">
        <w:t xml:space="preserve"> (1)</w:t>
      </w:r>
      <w:r w:rsidR="003A74A5">
        <w:t xml:space="preserve"> a justification</w:t>
      </w:r>
      <w:r w:rsidR="001A4D40">
        <w:t xml:space="preserve"> for the threshold</w:t>
      </w:r>
      <w:r w:rsidR="003A74A5">
        <w:t xml:space="preserve">, </w:t>
      </w:r>
      <w:r w:rsidR="00DE0B4B">
        <w:t>(2)</w:t>
      </w:r>
      <w:r w:rsidR="00FE7438">
        <w:t xml:space="preserve"> a</w:t>
      </w:r>
      <w:r w:rsidR="00DE0B4B">
        <w:t xml:space="preserve"> </w:t>
      </w:r>
      <w:r w:rsidR="003A74A5">
        <w:t xml:space="preserve">clear identification of the threshold, and </w:t>
      </w:r>
      <w:r w:rsidR="00DE0B4B">
        <w:t xml:space="preserve">(3) </w:t>
      </w:r>
      <w:r w:rsidR="003A74A5">
        <w:t>supporting documentation</w:t>
      </w:r>
      <w:r w:rsidR="00046B6C">
        <w:t>, which, for public institutions, may be a “higher threshold consistent with State law”</w:t>
      </w:r>
      <w:r w:rsidR="006F2E52">
        <w:t>; and</w:t>
      </w:r>
    </w:p>
    <w:p w14:paraId="79ED2BDC" w14:textId="65606182" w:rsidR="00372CF7" w:rsidRDefault="006F2E52" w:rsidP="001A5405">
      <w:pPr>
        <w:jc w:val="both"/>
      </w:pPr>
      <w:r>
        <w:tab/>
      </w:r>
      <w:proofErr w:type="gramStart"/>
      <w:r>
        <w:rPr>
          <w:b/>
          <w:bCs/>
        </w:rPr>
        <w:t>WHEREAS</w:t>
      </w:r>
      <w:r>
        <w:t>,</w:t>
      </w:r>
      <w:proofErr w:type="gramEnd"/>
      <w:r>
        <w:t xml:space="preserve"> </w:t>
      </w:r>
      <w:r w:rsidR="00165416">
        <w:t>G.S. 143-129</w:t>
      </w:r>
      <w:r w:rsidR="00046B6C">
        <w:t>(a)</w:t>
      </w:r>
      <w:r w:rsidR="00165416">
        <w:t xml:space="preserve"> and G.S. 143-131</w:t>
      </w:r>
      <w:r w:rsidR="00DE0B4B">
        <w:t>(a)</w:t>
      </w:r>
      <w:r w:rsidR="00515ACE">
        <w:t xml:space="preserve"> require the </w:t>
      </w:r>
      <w:r w:rsidR="00A02979">
        <w:t>[</w:t>
      </w:r>
      <w:r w:rsidR="00A02979">
        <w:rPr>
          <w:i/>
          <w:iCs/>
        </w:rPr>
        <w:t>Unit</w:t>
      </w:r>
      <w:r w:rsidR="00A02979">
        <w:t>]</w:t>
      </w:r>
      <w:r w:rsidR="00515ACE">
        <w:t xml:space="preserve"> to </w:t>
      </w:r>
      <w:r w:rsidR="00AB6B04">
        <w:t xml:space="preserve">conduct a competitive bidding process for the purchase of </w:t>
      </w:r>
      <w:r w:rsidR="00372CF7">
        <w:t xml:space="preserve">(1) </w:t>
      </w:r>
      <w:r w:rsidR="00AB6B04">
        <w:t>“apparatus, supplies, materials, or equipment”</w:t>
      </w:r>
      <w:r w:rsidR="00372CF7">
        <w:t xml:space="preserve"> where the cost of such purchase is equal to or greater than $30,000, and (2) “construction or repair work” where the cost of such purchase is greater than or equal to $30,000</w:t>
      </w:r>
      <w:r w:rsidR="009870B5">
        <w:t>; and</w:t>
      </w:r>
    </w:p>
    <w:p w14:paraId="370612E3" w14:textId="19EA22E7" w:rsidR="00372CF7" w:rsidRDefault="00372CF7" w:rsidP="001A5405">
      <w:pPr>
        <w:jc w:val="both"/>
      </w:pPr>
      <w:r>
        <w:tab/>
      </w:r>
      <w:proofErr w:type="gramStart"/>
      <w:r>
        <w:rPr>
          <w:b/>
          <w:bCs/>
        </w:rPr>
        <w:t>WHEREAS</w:t>
      </w:r>
      <w:r>
        <w:t>,</w:t>
      </w:r>
      <w:proofErr w:type="gramEnd"/>
      <w:r>
        <w:t xml:space="preserve"> North Carolina law does not require a unit of local government to competitively bid for purchase </w:t>
      </w:r>
      <w:r w:rsidR="009870B5">
        <w:t>of services other than services subject to the qualifications-based selection process set forth in Article 3D of Chapter 143</w:t>
      </w:r>
      <w:r w:rsidR="00F37BDE">
        <w:t xml:space="preserve"> of the North Carolina General Statutes</w:t>
      </w:r>
      <w:r w:rsidR="009870B5">
        <w:t xml:space="preserve"> (the “Mini-Brooks Act”)</w:t>
      </w:r>
      <w:r w:rsidR="003120C3">
        <w:t>; and</w:t>
      </w:r>
    </w:p>
    <w:p w14:paraId="783D8FCA" w14:textId="77777777" w:rsidR="00B55994" w:rsidRDefault="003120C3" w:rsidP="003120C3">
      <w:pPr>
        <w:jc w:val="both"/>
      </w:pPr>
      <w:r>
        <w:lastRenderedPageBreak/>
        <w:tab/>
      </w:r>
      <w:proofErr w:type="gramStart"/>
      <w:r>
        <w:rPr>
          <w:b/>
          <w:bCs/>
        </w:rPr>
        <w:t>WHEREAS</w:t>
      </w:r>
      <w:r>
        <w:t>,</w:t>
      </w:r>
      <w:proofErr w:type="gramEnd"/>
      <w:r>
        <w:t xml:space="preserve"> G.S. 143-64.32 permits units of local government to </w:t>
      </w:r>
      <w:r w:rsidR="00A92C48">
        <w:t xml:space="preserve">exercise, in writing, an exemption to the qualifications-based selection process for services subject to the Mini-Brooks Act for particular projects where the aggregate cost of </w:t>
      </w:r>
      <w:r w:rsidR="00B55994">
        <w:t xml:space="preserve">such services do not exceed $50,000; and </w:t>
      </w:r>
    </w:p>
    <w:p w14:paraId="72AE1C7A" w14:textId="55DBD24D" w:rsidR="00B55994" w:rsidRPr="00B55994" w:rsidRDefault="00B55994" w:rsidP="00B55994">
      <w:pPr>
        <w:ind w:firstLine="720"/>
        <w:jc w:val="both"/>
      </w:pPr>
      <w:r>
        <w:rPr>
          <w:b/>
          <w:bCs/>
        </w:rPr>
        <w:t>WHEREAS</w:t>
      </w:r>
      <w:r>
        <w:t>, pursuant to 2 C.F.R. 200.320(a)(1)(iv), the [</w:t>
      </w:r>
      <w:r w:rsidRPr="00124D82">
        <w:rPr>
          <w:i/>
          <w:iCs/>
        </w:rPr>
        <w:t>Governing Board</w:t>
      </w:r>
      <w:r>
        <w:t>] of the [</w:t>
      </w:r>
      <w:r>
        <w:rPr>
          <w:i/>
          <w:iCs/>
        </w:rPr>
        <w:t>Unit</w:t>
      </w:r>
      <w:r>
        <w:t>] now desires to adopt higher micro-purchase thresholds</w:t>
      </w:r>
      <w:r w:rsidR="004E4B78">
        <w:t xml:space="preserve"> than those identified in 48 C.F.R. § 2.101.</w:t>
      </w:r>
    </w:p>
    <w:p w14:paraId="79D4FA89" w14:textId="1823D509" w:rsidR="000F271C" w:rsidRDefault="000F271C" w:rsidP="009D3DA7">
      <w:pPr>
        <w:ind w:firstLine="720"/>
        <w:jc w:val="both"/>
        <w:rPr>
          <w:b/>
          <w:bCs/>
        </w:rPr>
      </w:pPr>
      <w:r w:rsidRPr="0069649B">
        <w:rPr>
          <w:b/>
          <w:bCs/>
        </w:rPr>
        <w:t>NOW THEREFORE, BE IT RESOLVED BY</w:t>
      </w:r>
      <w:r w:rsidR="00C03CAF">
        <w:rPr>
          <w:b/>
          <w:bCs/>
        </w:rPr>
        <w:t xml:space="preserve"> [</w:t>
      </w:r>
      <w:r w:rsidR="00C03CAF" w:rsidRPr="00C03CAF">
        <w:rPr>
          <w:b/>
          <w:bCs/>
          <w:i/>
          <w:iCs/>
        </w:rPr>
        <w:t>NAME OF GOVERNING BOARD</w:t>
      </w:r>
      <w:r w:rsidR="00C03CAF">
        <w:rPr>
          <w:b/>
          <w:bCs/>
        </w:rPr>
        <w:t>] OF THE [</w:t>
      </w:r>
      <w:r w:rsidR="00C03CAF" w:rsidRPr="00C03CAF">
        <w:rPr>
          <w:b/>
          <w:bCs/>
          <w:i/>
          <w:iCs/>
        </w:rPr>
        <w:t>UNIT</w:t>
      </w:r>
      <w:r w:rsidR="00C03CAF">
        <w:rPr>
          <w:b/>
          <w:bCs/>
        </w:rPr>
        <w:t>]</w:t>
      </w:r>
      <w:r w:rsidRPr="0069649B">
        <w:rPr>
          <w:b/>
          <w:bCs/>
        </w:rPr>
        <w:t>:</w:t>
      </w:r>
    </w:p>
    <w:p w14:paraId="576070C8" w14:textId="162FCF3A" w:rsidR="00595002" w:rsidRDefault="00595002" w:rsidP="00B77B4C">
      <w:pPr>
        <w:jc w:val="both"/>
      </w:pPr>
      <w:r>
        <w:tab/>
        <w:t>[1.</w:t>
      </w:r>
      <w:r>
        <w:tab/>
        <w:t>[</w:t>
      </w:r>
      <w:r>
        <w:rPr>
          <w:i/>
          <w:iCs/>
        </w:rPr>
        <w:t>Option #</w:t>
      </w:r>
      <w:r w:rsidR="00353A00">
        <w:rPr>
          <w:i/>
          <w:iCs/>
        </w:rPr>
        <w:t>1</w:t>
      </w:r>
      <w:r>
        <w:t>]</w:t>
      </w:r>
      <w:r>
        <w:rPr>
          <w:i/>
          <w:iCs/>
        </w:rPr>
        <w:t xml:space="preserve">: </w:t>
      </w:r>
      <w:r>
        <w:t>In accordance with 2 C.F.R. § 200.320(a)(1)(iv) and the applicable provisions of North Carolina law, the [</w:t>
      </w:r>
      <w:r>
        <w:rPr>
          <w:i/>
          <w:iCs/>
        </w:rPr>
        <w:t>Unit</w:t>
      </w:r>
      <w:r>
        <w:t>] hereby self-certifies the following micro-purchase thresholds, each of which is a “higher threshold consistent with State law” under 2 C.F.R. § 200.320(a)(1)(iv)(C)</w:t>
      </w:r>
      <w:r w:rsidR="00BB7721">
        <w:t xml:space="preserve"> for the reasons set forth in the recitals to this resolution</w:t>
      </w:r>
      <w:r>
        <w:t>:</w:t>
      </w:r>
      <w:r w:rsidR="00353A00">
        <w:t>]</w:t>
      </w:r>
      <w:r w:rsidR="00417637">
        <w:rPr>
          <w:rStyle w:val="FootnoteReference"/>
        </w:rPr>
        <w:footnoteReference w:id="19"/>
      </w:r>
    </w:p>
    <w:p w14:paraId="0C8012A7" w14:textId="14AEF1EA" w:rsidR="0008706C" w:rsidRDefault="0008706C" w:rsidP="00B77B4C">
      <w:pPr>
        <w:ind w:firstLine="720"/>
        <w:jc w:val="both"/>
      </w:pPr>
      <w:r>
        <w:t>[1.</w:t>
      </w:r>
      <w:r>
        <w:tab/>
        <w:t>[</w:t>
      </w:r>
      <w:r>
        <w:rPr>
          <w:i/>
          <w:iCs/>
        </w:rPr>
        <w:t>Option #</w:t>
      </w:r>
      <w:r w:rsidR="00353A00">
        <w:rPr>
          <w:i/>
          <w:iCs/>
        </w:rPr>
        <w:t>2</w:t>
      </w:r>
      <w:r w:rsidR="00353A00">
        <w:t>]</w:t>
      </w:r>
      <w:r>
        <w:t>:  The Unit has completed an annual internal institutional risk assessment to identify, mitigate, and manage financial risks.  Therefore, in accordance with 2 C.F.R. § 200.320(a)(1)(iv)(B) and the applicable provisions of North Carolina law</w:t>
      </w:r>
      <w:r w:rsidR="00353A00">
        <w:t>:]</w:t>
      </w:r>
    </w:p>
    <w:p w14:paraId="0FAF41AA" w14:textId="35122264" w:rsidR="00595002" w:rsidRDefault="0008706C" w:rsidP="00595002">
      <w:pPr>
        <w:ind w:firstLine="720"/>
        <w:jc w:val="both"/>
      </w:pPr>
      <w:r>
        <w:t>[1.</w:t>
      </w:r>
      <w:r>
        <w:tab/>
      </w:r>
      <w:r w:rsidR="00595002">
        <w:t>[</w:t>
      </w:r>
      <w:r w:rsidR="00595002">
        <w:rPr>
          <w:i/>
          <w:iCs/>
        </w:rPr>
        <w:t>Option #</w:t>
      </w:r>
      <w:r w:rsidR="00353A00">
        <w:rPr>
          <w:i/>
          <w:iCs/>
        </w:rPr>
        <w:t>3</w:t>
      </w:r>
      <w:r w:rsidR="00595002">
        <w:t>:</w:t>
      </w:r>
      <w:r w:rsidR="00595002">
        <w:rPr>
          <w:i/>
          <w:iCs/>
        </w:rPr>
        <w:t xml:space="preserve"> </w:t>
      </w:r>
      <w:r w:rsidR="00595002">
        <w:t xml:space="preserve"> The Unit has qualified as a low-risk auditee in accordance with the criteria set forth in 2 C.F.R. § 200.520.  Therefore, in accordance with 2 C.F.R. § 200.320(a)(1)(iv)(A) and the applicable provisions of North Carolina law, the [</w:t>
      </w:r>
      <w:r w:rsidR="00595002">
        <w:rPr>
          <w:i/>
          <w:iCs/>
        </w:rPr>
        <w:t>Unit</w:t>
      </w:r>
      <w:r w:rsidR="00595002">
        <w:t>] hereby self-certifies the following micro-purchase thresholds</w:t>
      </w:r>
      <w:r>
        <w:t>:</w:t>
      </w:r>
      <w:r w:rsidR="00595002">
        <w:t>]</w:t>
      </w:r>
    </w:p>
    <w:p w14:paraId="4F4A3CBD" w14:textId="4844AD7C" w:rsidR="00515ACE" w:rsidRDefault="00A07243" w:rsidP="006F2E52">
      <w:r>
        <w:tab/>
      </w:r>
      <w:r>
        <w:tab/>
        <w:t>A.</w:t>
      </w:r>
      <w:r>
        <w:tab/>
        <w:t xml:space="preserve">$30,000, for the purchase of </w:t>
      </w:r>
      <w:r w:rsidR="00FD2F86">
        <w:t xml:space="preserve">“apparatus, supplies, materials, </w:t>
      </w:r>
      <w:r w:rsidR="003802E7">
        <w:t>or equipment”</w:t>
      </w:r>
      <w:r w:rsidR="00C03CAF">
        <w:t>;</w:t>
      </w:r>
      <w:r w:rsidR="008D1845">
        <w:t xml:space="preserve"> and</w:t>
      </w:r>
    </w:p>
    <w:p w14:paraId="39B82395" w14:textId="2464A335" w:rsidR="003802E7" w:rsidRDefault="003802E7" w:rsidP="006F2E52">
      <w:r>
        <w:tab/>
      </w:r>
      <w:r>
        <w:tab/>
        <w:t>B.</w:t>
      </w:r>
      <w:r>
        <w:tab/>
        <w:t>$30,000, for the purchase of “construction or repair work”</w:t>
      </w:r>
      <w:r w:rsidR="00C03CAF">
        <w:t>; and</w:t>
      </w:r>
    </w:p>
    <w:p w14:paraId="244AA4DC" w14:textId="026BF7CB" w:rsidR="003802E7" w:rsidRDefault="003802E7" w:rsidP="006F2E52">
      <w:r>
        <w:tab/>
      </w:r>
      <w:r>
        <w:tab/>
        <w:t>C.</w:t>
      </w:r>
      <w:r>
        <w:tab/>
        <w:t>$50,000, for the purchase of services not subject to competitive bidding under North Carolina law</w:t>
      </w:r>
      <w:r w:rsidR="00B07B27">
        <w:t>; and</w:t>
      </w:r>
    </w:p>
    <w:p w14:paraId="1AA620AA" w14:textId="24555549" w:rsidR="00B07B27" w:rsidRPr="00C01372" w:rsidRDefault="00B07B27" w:rsidP="00A30884">
      <w:pPr>
        <w:jc w:val="both"/>
      </w:pPr>
      <w:r>
        <w:tab/>
      </w:r>
      <w:r>
        <w:tab/>
        <w:t>D.</w:t>
      </w:r>
      <w:r>
        <w:tab/>
        <w:t xml:space="preserve">$50,000, for the purchase of services subject to the qualifications-based selection process in </w:t>
      </w:r>
      <w:r w:rsidR="00C01372">
        <w:t>the Mini-Brooks Act</w:t>
      </w:r>
      <w:r w:rsidR="009D3DA7">
        <w:t>; provided that such threshold shall apply to a contract only if the Unit has exercised an exemption to the Mini-Brooks Act, in writing, for a particular project</w:t>
      </w:r>
      <w:r w:rsidR="00A30884">
        <w:t xml:space="preserve"> pursuant to G.S. 143-64.32</w:t>
      </w:r>
      <w:r w:rsidR="00AB3DCE">
        <w:t>.  If the exempt</w:t>
      </w:r>
      <w:r w:rsidR="00D3414C">
        <w:t>ion</w:t>
      </w:r>
      <w:r w:rsidR="00AB3DCE">
        <w:t xml:space="preserve"> is not authorized, the micro-purchase threshold shall be </w:t>
      </w:r>
      <w:r w:rsidR="00AB3DCE" w:rsidRPr="00E41785">
        <w:rPr>
          <w:color w:val="FF0000"/>
        </w:rPr>
        <w:t>$</w:t>
      </w:r>
      <w:r w:rsidR="00E41785" w:rsidRPr="00E41785">
        <w:rPr>
          <w:color w:val="FF0000"/>
        </w:rPr>
        <w:t>0</w:t>
      </w:r>
      <w:r w:rsidR="00AB3DCE">
        <w:t>.</w:t>
      </w:r>
      <w:r w:rsidR="00BB7721">
        <w:t>]</w:t>
      </w:r>
    </w:p>
    <w:p w14:paraId="691B1934" w14:textId="0A63CE18" w:rsidR="00515ACE" w:rsidRDefault="003F4764" w:rsidP="008D1845">
      <w:pPr>
        <w:ind w:firstLine="720"/>
        <w:jc w:val="both"/>
      </w:pPr>
      <w:r>
        <w:t>2</w:t>
      </w:r>
      <w:r w:rsidR="007261F9">
        <w:t>.</w:t>
      </w:r>
      <w:r w:rsidR="007261F9">
        <w:tab/>
        <w:t xml:space="preserve">The </w:t>
      </w:r>
      <w:r w:rsidR="00DF3FAC">
        <w:t>self-</w:t>
      </w:r>
      <w:r w:rsidR="007261F9">
        <w:t xml:space="preserve">certification made herein </w:t>
      </w:r>
      <w:r w:rsidR="00583FDE">
        <w:t>shall be effective as of the date hereof</w:t>
      </w:r>
      <w:r w:rsidR="00DF3FAC">
        <w:t xml:space="preserve"> and shall be </w:t>
      </w:r>
      <w:r w:rsidR="00320ECA">
        <w:t xml:space="preserve">applicable </w:t>
      </w:r>
      <w:r w:rsidR="00072736">
        <w:t xml:space="preserve">until the </w:t>
      </w:r>
      <w:r w:rsidR="00867B54">
        <w:t>[</w:t>
      </w:r>
      <w:r w:rsidR="00072736">
        <w:t>end of the current fiscal year</w:t>
      </w:r>
      <w:r w:rsidR="00867B54">
        <w:t>]</w:t>
      </w:r>
      <w:r w:rsidR="00867B54">
        <w:rPr>
          <w:rStyle w:val="FootnoteReference"/>
        </w:rPr>
        <w:footnoteReference w:id="20"/>
      </w:r>
      <w:r w:rsidR="00072736">
        <w:t xml:space="preserve"> of the </w:t>
      </w:r>
      <w:proofErr w:type="gramStart"/>
      <w:r w:rsidR="00072736">
        <w:t>Unit</w:t>
      </w:r>
      <w:r w:rsidR="00583FDE">
        <w:t>, but</w:t>
      </w:r>
      <w:proofErr w:type="gramEnd"/>
      <w:r w:rsidR="00583FDE">
        <w:t xml:space="preserve"> shall not be applicable to </w:t>
      </w:r>
      <w:r w:rsidR="00B73836">
        <w:t>Federal financial assistance awards issued prior to November 12, 2020, including financial assistance awards issued prior to that date under the Coronavirus Aid, Relief, and Economic Support (CARES) Act of 2020 (Pub. L. 116-136).</w:t>
      </w:r>
      <w:r w:rsidR="007261F9">
        <w:t xml:space="preserve"> </w:t>
      </w:r>
    </w:p>
    <w:p w14:paraId="28923349" w14:textId="7D644D18" w:rsidR="00315602" w:rsidRDefault="006F2E52" w:rsidP="006F2E52">
      <w:pPr>
        <w:jc w:val="both"/>
      </w:pPr>
      <w:r>
        <w:tab/>
      </w:r>
      <w:r w:rsidR="00315602">
        <w:t>3.</w:t>
      </w:r>
      <w:r w:rsidR="00315602">
        <w:tab/>
      </w:r>
      <w:proofErr w:type="gramStart"/>
      <w:r w:rsidR="00315602">
        <w:t>In the event that</w:t>
      </w:r>
      <w:proofErr w:type="gramEnd"/>
      <w:r w:rsidR="00315602">
        <w:t xml:space="preserve"> </w:t>
      </w:r>
      <w:r w:rsidR="00A01F92">
        <w:t>the [</w:t>
      </w:r>
      <w:r w:rsidR="00A01F92">
        <w:rPr>
          <w:i/>
        </w:rPr>
        <w:t>Unit</w:t>
      </w:r>
      <w:r w:rsidR="00A01F92">
        <w:rPr>
          <w:iCs/>
        </w:rPr>
        <w:t>] receives funding from a</w:t>
      </w:r>
      <w:r w:rsidR="00315602">
        <w:t xml:space="preserve"> federal grantor agency </w:t>
      </w:r>
      <w:r w:rsidR="00A01F92">
        <w:t xml:space="preserve">that adopts a threshold more restrictive than those contained herein, the Unit shall comply with </w:t>
      </w:r>
      <w:r w:rsidR="00D02AEA">
        <w:t>the</w:t>
      </w:r>
      <w:r w:rsidR="00A01F92">
        <w:t xml:space="preserve"> more restrictive </w:t>
      </w:r>
      <w:r w:rsidR="00D02AEA">
        <w:t>threshold</w:t>
      </w:r>
      <w:r w:rsidR="00A01F92">
        <w:t xml:space="preserve"> when expending</w:t>
      </w:r>
      <w:r w:rsidR="00194ED2">
        <w:t xml:space="preserve"> such funds.</w:t>
      </w:r>
    </w:p>
    <w:p w14:paraId="704E20D3" w14:textId="636F321D" w:rsidR="00EA4495" w:rsidRDefault="00194ED2" w:rsidP="00194ED2">
      <w:pPr>
        <w:ind w:firstLine="720"/>
        <w:jc w:val="both"/>
      </w:pPr>
      <w:r>
        <w:lastRenderedPageBreak/>
        <w:t>4</w:t>
      </w:r>
      <w:r w:rsidR="00EA4495">
        <w:t>.</w:t>
      </w:r>
      <w:r w:rsidR="00EA4495">
        <w:tab/>
        <w:t>The Unit shall maintain documentation to be made availab</w:t>
      </w:r>
      <w:r w:rsidR="00902702">
        <w:t>l</w:t>
      </w:r>
      <w:r w:rsidR="00EA4495">
        <w:t>e</w:t>
      </w:r>
      <w:r w:rsidR="00902702">
        <w:t xml:space="preserve"> t</w:t>
      </w:r>
      <w:r w:rsidR="00EA4495">
        <w:t>o a Federal awarding agency</w:t>
      </w:r>
      <w:r w:rsidR="002A3FBE">
        <w:t>, any pass-through entity,</w:t>
      </w:r>
      <w:r w:rsidR="00EA4495">
        <w:t xml:space="preserve"> and auditors in accordance with 2 C.F.R. </w:t>
      </w:r>
      <w:r w:rsidR="00BE3810">
        <w:t xml:space="preserve">§ </w:t>
      </w:r>
      <w:r w:rsidR="00EA4495">
        <w:t>200.3</w:t>
      </w:r>
      <w:r w:rsidR="00902702">
        <w:t>34.</w:t>
      </w:r>
    </w:p>
    <w:p w14:paraId="51B07A11" w14:textId="0D3D8ADE" w:rsidR="00F55B23" w:rsidRPr="00F55B23" w:rsidRDefault="00F55B23" w:rsidP="006F2E52">
      <w:pPr>
        <w:jc w:val="both"/>
      </w:pPr>
      <w:r>
        <w:tab/>
      </w:r>
      <w:r w:rsidR="00194ED2">
        <w:t>5</w:t>
      </w:r>
      <w:r>
        <w:t>.</w:t>
      </w:r>
      <w:r>
        <w:tab/>
        <w:t>The [</w:t>
      </w:r>
      <w:r>
        <w:rPr>
          <w:i/>
          <w:iCs/>
        </w:rPr>
        <w:t>appropriate officers and employees</w:t>
      </w:r>
      <w:r>
        <w:t>]</w:t>
      </w:r>
      <w:r w:rsidR="005F0B21">
        <w:rPr>
          <w:rStyle w:val="FootnoteReference"/>
        </w:rPr>
        <w:footnoteReference w:id="21"/>
      </w:r>
      <w:r>
        <w:t xml:space="preserve"> of the Unit are hereby authorized, </w:t>
      </w:r>
      <w:proofErr w:type="gramStart"/>
      <w:r>
        <w:t>individually</w:t>
      </w:r>
      <w:proofErr w:type="gramEnd"/>
      <w:r>
        <w:t xml:space="preserve"> and collectively, to revise the Purchasing Policy of the Unit to</w:t>
      </w:r>
      <w:r w:rsidR="002445DF">
        <w:t xml:space="preserve"> reflect the increased micro-purchase thresholds specified herein</w:t>
      </w:r>
      <w:r>
        <w:t>, and to take all such actions, individually and collectively, to carry</w:t>
      </w:r>
      <w:r w:rsidR="002A28D6">
        <w:t xml:space="preserve"> into effect</w:t>
      </w:r>
      <w:r>
        <w:t xml:space="preserve"> the purpose and intent of the foregoing resolution.</w:t>
      </w:r>
    </w:p>
    <w:p w14:paraId="714679BB" w14:textId="08E5E8C6" w:rsidR="001E3126" w:rsidRDefault="001A5405" w:rsidP="001A5405">
      <w:pPr>
        <w:jc w:val="center"/>
      </w:pPr>
      <w:r>
        <w:t>* * * * * * * * *</w:t>
      </w:r>
    </w:p>
    <w:p w14:paraId="6EC03E7E" w14:textId="43971814" w:rsidR="00DA3A6A" w:rsidRDefault="00087BE0" w:rsidP="0049481D">
      <w:pPr>
        <w:ind w:firstLine="720"/>
        <w:jc w:val="both"/>
      </w:pPr>
      <w:r>
        <w:t>Adopted this the [___] day of [_____], 2021.</w:t>
      </w:r>
      <w:r w:rsidR="003F4764">
        <w:rPr>
          <w:rStyle w:val="FootnoteReference"/>
        </w:rPr>
        <w:footnoteReference w:id="22"/>
      </w:r>
      <w:r>
        <w:t xml:space="preserve">  </w:t>
      </w:r>
      <w:r w:rsidR="0049481D">
        <w:t xml:space="preserve">  </w:t>
      </w:r>
    </w:p>
    <w:p w14:paraId="54AB23F6" w14:textId="448F88BB" w:rsidR="00501E7E" w:rsidRDefault="00501E7E" w:rsidP="00DA3A6A">
      <w:pPr>
        <w:jc w:val="both"/>
      </w:pPr>
    </w:p>
    <w:sectPr w:rsidR="00501E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0336" w14:textId="77777777" w:rsidR="00735508" w:rsidRDefault="00735508" w:rsidP="005329C4">
      <w:pPr>
        <w:spacing w:after="0" w:line="240" w:lineRule="auto"/>
      </w:pPr>
      <w:r>
        <w:separator/>
      </w:r>
    </w:p>
  </w:endnote>
  <w:endnote w:type="continuationSeparator" w:id="0">
    <w:p w14:paraId="021CEF3E" w14:textId="77777777" w:rsidR="00735508" w:rsidRDefault="00735508" w:rsidP="0053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05370"/>
      <w:docPartObj>
        <w:docPartGallery w:val="Page Numbers (Bottom of Page)"/>
        <w:docPartUnique/>
      </w:docPartObj>
    </w:sdtPr>
    <w:sdtEndPr>
      <w:rPr>
        <w:noProof/>
      </w:rPr>
    </w:sdtEndPr>
    <w:sdtContent>
      <w:p w14:paraId="0EF799CB" w14:textId="14035CE4" w:rsidR="005329C4" w:rsidRDefault="005329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B1D2D" w14:textId="77777777" w:rsidR="005329C4" w:rsidRDefault="005329C4" w:rsidP="005329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8B64" w14:textId="77777777" w:rsidR="00735508" w:rsidRDefault="00735508" w:rsidP="005329C4">
      <w:pPr>
        <w:spacing w:after="0" w:line="240" w:lineRule="auto"/>
      </w:pPr>
      <w:r>
        <w:separator/>
      </w:r>
    </w:p>
  </w:footnote>
  <w:footnote w:type="continuationSeparator" w:id="0">
    <w:p w14:paraId="59040D96" w14:textId="77777777" w:rsidR="00735508" w:rsidRDefault="00735508" w:rsidP="005329C4">
      <w:pPr>
        <w:spacing w:after="0" w:line="240" w:lineRule="auto"/>
      </w:pPr>
      <w:r>
        <w:continuationSeparator/>
      </w:r>
    </w:p>
  </w:footnote>
  <w:footnote w:id="1">
    <w:p w14:paraId="6131F1CE" w14:textId="7845804F" w:rsidR="00BC25CD" w:rsidRPr="00604C2B" w:rsidRDefault="00BC25CD" w:rsidP="00417637">
      <w:pPr>
        <w:pStyle w:val="FootnoteText"/>
        <w:jc w:val="both"/>
      </w:pPr>
      <w:r>
        <w:rPr>
          <w:rStyle w:val="FootnoteReference"/>
        </w:rPr>
        <w:footnoteRef/>
      </w:r>
      <w:r>
        <w:t xml:space="preserve"> </w:t>
      </w:r>
      <w:r w:rsidR="00604C2B">
        <w:rPr>
          <w:i/>
          <w:iCs/>
        </w:rPr>
        <w:t>See</w:t>
      </w:r>
      <w:r w:rsidR="00924877">
        <w:rPr>
          <w:i/>
          <w:iCs/>
        </w:rPr>
        <w:t xml:space="preserve"> </w:t>
      </w:r>
      <w:hyperlink r:id="rId1" w:history="1">
        <w:r w:rsidR="00924877" w:rsidRPr="00924877">
          <w:rPr>
            <w:rStyle w:val="Hyperlink"/>
          </w:rPr>
          <w:t>Guidance for Grants and Agreements,</w:t>
        </w:r>
        <w:r w:rsidR="00604C2B" w:rsidRPr="00924877">
          <w:rPr>
            <w:rStyle w:val="Hyperlink"/>
          </w:rPr>
          <w:t xml:space="preserve"> 85 Fed. Reg. 49506</w:t>
        </w:r>
        <w:r w:rsidR="004B2496" w:rsidRPr="00924877">
          <w:rPr>
            <w:rStyle w:val="Hyperlink"/>
          </w:rPr>
          <w:t xml:space="preserve"> (August 13, 2020)</w:t>
        </w:r>
        <w:r w:rsidR="00924877" w:rsidRPr="00924877">
          <w:rPr>
            <w:rStyle w:val="Hyperlink"/>
          </w:rPr>
          <w:t xml:space="preserve"> (to be codified at 2 C.F.R. pt. 200)</w:t>
        </w:r>
      </w:hyperlink>
      <w:r w:rsidR="00924877">
        <w:t>.</w:t>
      </w:r>
    </w:p>
  </w:footnote>
  <w:footnote w:id="2">
    <w:p w14:paraId="5B921E15" w14:textId="1D62C5BC" w:rsidR="00CE7CC2" w:rsidRDefault="00CE7CC2" w:rsidP="00417637">
      <w:pPr>
        <w:pStyle w:val="FootnoteText"/>
        <w:jc w:val="both"/>
      </w:pPr>
      <w:r>
        <w:rPr>
          <w:rStyle w:val="FootnoteReference"/>
        </w:rPr>
        <w:footnoteRef/>
      </w:r>
      <w:r>
        <w:t xml:space="preserve"> </w:t>
      </w:r>
      <w:r w:rsidR="00B945CF">
        <w:rPr>
          <w:i/>
          <w:iCs/>
        </w:rPr>
        <w:t xml:space="preserve">Id. </w:t>
      </w:r>
      <w:r w:rsidR="00B945CF">
        <w:t>at</w:t>
      </w:r>
      <w:r w:rsidR="007B650C">
        <w:t xml:space="preserve"> 49553</w:t>
      </w:r>
      <w:r w:rsidR="00B945CF">
        <w:t xml:space="preserve"> (to be codified at </w:t>
      </w:r>
      <w:hyperlink r:id="rId2" w:history="1">
        <w:r w:rsidRPr="00281D3D">
          <w:rPr>
            <w:rStyle w:val="Hyperlink"/>
          </w:rPr>
          <w:t>2 C.F.R. § 200.320(a)(1)(iv)(C)</w:t>
        </w:r>
      </w:hyperlink>
      <w:r w:rsidR="007B650C">
        <w:t>)</w:t>
      </w:r>
      <w:r w:rsidR="00132CE6">
        <w:t>.</w:t>
      </w:r>
    </w:p>
  </w:footnote>
  <w:footnote w:id="3">
    <w:p w14:paraId="4AC5CB86" w14:textId="16FA93A9" w:rsidR="00F00D96" w:rsidRDefault="00F00D96" w:rsidP="00417637">
      <w:pPr>
        <w:pStyle w:val="FootnoteText"/>
        <w:jc w:val="both"/>
      </w:pPr>
      <w:r>
        <w:rPr>
          <w:rStyle w:val="FootnoteReference"/>
        </w:rPr>
        <w:footnoteRef/>
      </w:r>
      <w:r>
        <w:t xml:space="preserve"> </w:t>
      </w:r>
      <w:r w:rsidR="00281D3D">
        <w:rPr>
          <w:i/>
          <w:iCs/>
        </w:rPr>
        <w:t xml:space="preserve">Id. </w:t>
      </w:r>
      <w:r w:rsidR="00281D3D">
        <w:t xml:space="preserve">at </w:t>
      </w:r>
      <w:r w:rsidR="00CC2EE0">
        <w:t>4955</w:t>
      </w:r>
      <w:r w:rsidR="00E27B45">
        <w:t xml:space="preserve">2-49556 (to be codified at </w:t>
      </w:r>
      <w:hyperlink r:id="rId3" w:history="1">
        <w:r w:rsidR="00E27B45" w:rsidRPr="00496459">
          <w:rPr>
            <w:rStyle w:val="Hyperlink"/>
          </w:rPr>
          <w:t>2</w:t>
        </w:r>
        <w:r w:rsidRPr="00496459">
          <w:rPr>
            <w:rStyle w:val="Hyperlink"/>
          </w:rPr>
          <w:t xml:space="preserve"> C.F.R. §§ 200.317 – 200.327</w:t>
        </w:r>
      </w:hyperlink>
      <w:r w:rsidR="00E27B45">
        <w:t>)</w:t>
      </w:r>
      <w:r w:rsidR="00132CE6">
        <w:t>.</w:t>
      </w:r>
      <w:r>
        <w:t xml:space="preserve"> </w:t>
      </w:r>
    </w:p>
  </w:footnote>
  <w:footnote w:id="4">
    <w:p w14:paraId="3A16F2EF" w14:textId="18895356" w:rsidR="00052DB5" w:rsidRDefault="00052DB5" w:rsidP="00417637">
      <w:pPr>
        <w:pStyle w:val="FootnoteText"/>
        <w:jc w:val="both"/>
      </w:pPr>
      <w:r>
        <w:rPr>
          <w:rStyle w:val="FootnoteReference"/>
        </w:rPr>
        <w:footnoteRef/>
      </w:r>
      <w:r>
        <w:t xml:space="preserve"> </w:t>
      </w:r>
      <w:r w:rsidR="00496459">
        <w:rPr>
          <w:i/>
          <w:iCs/>
        </w:rPr>
        <w:t xml:space="preserve">Id. </w:t>
      </w:r>
      <w:r w:rsidR="00496459">
        <w:t>at 49</w:t>
      </w:r>
      <w:r w:rsidR="001E6010">
        <w:t xml:space="preserve">553 (to be codified at </w:t>
      </w:r>
      <w:hyperlink r:id="rId4" w:anchor="se2.1.200_1320" w:history="1">
        <w:r w:rsidRPr="001E6010">
          <w:rPr>
            <w:rStyle w:val="Hyperlink"/>
          </w:rPr>
          <w:t>2 C.F.R.</w:t>
        </w:r>
        <w:r w:rsidR="000A387F" w:rsidRPr="001E6010">
          <w:rPr>
            <w:rStyle w:val="Hyperlink"/>
          </w:rPr>
          <w:t xml:space="preserve"> §</w:t>
        </w:r>
        <w:r w:rsidRPr="001E6010">
          <w:rPr>
            <w:rStyle w:val="Hyperlink"/>
          </w:rPr>
          <w:t xml:space="preserve"> 200.320(a)(1); 2 C.F.R. </w:t>
        </w:r>
        <w:r w:rsidR="000A387F" w:rsidRPr="001E6010">
          <w:rPr>
            <w:rStyle w:val="Hyperlink"/>
          </w:rPr>
          <w:t xml:space="preserve">§ </w:t>
        </w:r>
        <w:r w:rsidRPr="001E6010">
          <w:rPr>
            <w:rStyle w:val="Hyperlink"/>
          </w:rPr>
          <w:t>200.320(</w:t>
        </w:r>
        <w:r w:rsidR="000A387F" w:rsidRPr="001E6010">
          <w:rPr>
            <w:rStyle w:val="Hyperlink"/>
          </w:rPr>
          <w:t>c)(1)</w:t>
        </w:r>
      </w:hyperlink>
      <w:r w:rsidR="001E6010">
        <w:t>)</w:t>
      </w:r>
      <w:r w:rsidR="000A387F">
        <w:t>.</w:t>
      </w:r>
    </w:p>
  </w:footnote>
  <w:footnote w:id="5">
    <w:p w14:paraId="7DB74977" w14:textId="69947AC1" w:rsidR="00AB0F7F" w:rsidRDefault="00AB0F7F" w:rsidP="00417637">
      <w:pPr>
        <w:pStyle w:val="FootnoteText"/>
        <w:jc w:val="both"/>
      </w:pPr>
      <w:r>
        <w:rPr>
          <w:rStyle w:val="FootnoteReference"/>
        </w:rPr>
        <w:footnoteRef/>
      </w:r>
      <w:r>
        <w:t xml:space="preserve"> </w:t>
      </w:r>
      <w:r w:rsidR="001E6010">
        <w:rPr>
          <w:i/>
          <w:iCs/>
        </w:rPr>
        <w:t xml:space="preserve">Id.  </w:t>
      </w:r>
      <w:r w:rsidR="001E6010">
        <w:t xml:space="preserve">(to be codified at </w:t>
      </w:r>
      <w:hyperlink r:id="rId5" w:anchor="se2.1.200_1320" w:history="1">
        <w:r w:rsidRPr="00165D04">
          <w:rPr>
            <w:rStyle w:val="Hyperlink"/>
          </w:rPr>
          <w:t>2 C.F.R. § 200.320(a)(1)(ii)</w:t>
        </w:r>
      </w:hyperlink>
      <w:r w:rsidR="00655A63">
        <w:t>)</w:t>
      </w:r>
    </w:p>
  </w:footnote>
  <w:footnote w:id="6">
    <w:p w14:paraId="4C53202D" w14:textId="44A39CFB" w:rsidR="002E60EE" w:rsidRPr="007D18A0" w:rsidRDefault="002E60EE" w:rsidP="00417637">
      <w:pPr>
        <w:pStyle w:val="FootnoteText"/>
        <w:jc w:val="both"/>
      </w:pPr>
      <w:r>
        <w:rPr>
          <w:rStyle w:val="FootnoteReference"/>
        </w:rPr>
        <w:footnoteRef/>
      </w:r>
      <w:r>
        <w:t xml:space="preserve"> 2 C.F.R. § 200.67 (2020) (“The </w:t>
      </w:r>
      <w:r w:rsidR="008451EA">
        <w:t xml:space="preserve">micro-purchase threshold is set by the Federal Acquisition Regulation at 48 CFR Subpart 2.1 (Definitions).  It is $3,000 except as otherwise discussed in Subpart 2.1 of that regulation, but this threshold is periodically adjusted for inflation.”).  </w:t>
      </w:r>
      <w:r w:rsidR="007D18A0">
        <w:t xml:space="preserve">In 2018, </w:t>
      </w:r>
      <w:r w:rsidR="00655A63">
        <w:t>the Office of Management and Budget</w:t>
      </w:r>
      <w:r w:rsidR="007D18A0">
        <w:t xml:space="preserve"> raised the micro-purchase threshold under Federal financial assistance awards to $10,000.  </w:t>
      </w:r>
      <w:r w:rsidR="007D18A0">
        <w:rPr>
          <w:i/>
          <w:iCs/>
        </w:rPr>
        <w:t>See</w:t>
      </w:r>
      <w:r w:rsidR="007D18A0">
        <w:t xml:space="preserve"> </w:t>
      </w:r>
      <w:hyperlink r:id="rId6" w:history="1">
        <w:r w:rsidR="002A32A5" w:rsidRPr="0019256D">
          <w:rPr>
            <w:rStyle w:val="Hyperlink"/>
          </w:rPr>
          <w:t>Office of Mgmt. &amp; Budget, Exec. Office of the President, OMB M</w:t>
        </w:r>
        <w:r w:rsidR="00F51BC7" w:rsidRPr="0019256D">
          <w:rPr>
            <w:rStyle w:val="Hyperlink"/>
          </w:rPr>
          <w:t>emorandum</w:t>
        </w:r>
        <w:r w:rsidR="007D18A0" w:rsidRPr="0019256D">
          <w:rPr>
            <w:rStyle w:val="Hyperlink"/>
          </w:rPr>
          <w:t xml:space="preserve"> M-18-18</w:t>
        </w:r>
        <w:r w:rsidR="00F51BC7" w:rsidRPr="0019256D">
          <w:rPr>
            <w:rStyle w:val="Hyperlink"/>
          </w:rPr>
          <w:t>, Memorandum for Chief Financial Officers and Heads of Small Executive Agencies</w:t>
        </w:r>
        <w:r w:rsidR="007D18A0" w:rsidRPr="0019256D">
          <w:rPr>
            <w:rStyle w:val="Hyperlink"/>
          </w:rPr>
          <w:t xml:space="preserve"> (June 20, 2018)</w:t>
        </w:r>
      </w:hyperlink>
      <w:r w:rsidR="0019256D">
        <w:t>.</w:t>
      </w:r>
    </w:p>
  </w:footnote>
  <w:footnote w:id="7">
    <w:p w14:paraId="5C43EBA8" w14:textId="60F61A3F" w:rsidR="00A4060F" w:rsidRDefault="00A4060F" w:rsidP="00417637">
      <w:pPr>
        <w:pStyle w:val="FootnoteText"/>
        <w:jc w:val="both"/>
      </w:pPr>
      <w:r>
        <w:rPr>
          <w:rStyle w:val="FootnoteReference"/>
        </w:rPr>
        <w:footnoteRef/>
      </w:r>
      <w:r>
        <w:t xml:space="preserve"> </w:t>
      </w:r>
      <w:hyperlink r:id="rId7" w:history="1">
        <w:r w:rsidR="00F51BC7" w:rsidRPr="00924877">
          <w:rPr>
            <w:rStyle w:val="Hyperlink"/>
          </w:rPr>
          <w:t>Guidance for Grants and Agreements, 85 Fed. Reg. 49</w:t>
        </w:r>
        <w:r w:rsidR="00A15747">
          <w:rPr>
            <w:rStyle w:val="Hyperlink"/>
          </w:rPr>
          <w:t>506, 49553</w:t>
        </w:r>
        <w:r w:rsidR="00F51BC7" w:rsidRPr="00924877">
          <w:rPr>
            <w:rStyle w:val="Hyperlink"/>
          </w:rPr>
          <w:t xml:space="preserve"> (August 13, 2020) (to be codified at 2 C.F.R. </w:t>
        </w:r>
        <w:r w:rsidR="00A15747">
          <w:rPr>
            <w:rStyle w:val="Hyperlink"/>
          </w:rPr>
          <w:t>§ 200.320(a)(</w:t>
        </w:r>
        <w:r w:rsidR="002D15B5">
          <w:rPr>
            <w:rStyle w:val="Hyperlink"/>
          </w:rPr>
          <w:t>1)(iii</w:t>
        </w:r>
        <w:r w:rsidR="00F51BC7" w:rsidRPr="00924877">
          <w:rPr>
            <w:rStyle w:val="Hyperlink"/>
          </w:rPr>
          <w:t>)</w:t>
        </w:r>
      </w:hyperlink>
      <w:r w:rsidR="002D15B5">
        <w:t>).</w:t>
      </w:r>
    </w:p>
  </w:footnote>
  <w:footnote w:id="8">
    <w:p w14:paraId="0E70928C" w14:textId="4FE42510" w:rsidR="007A49F5" w:rsidRDefault="007A49F5" w:rsidP="00417637">
      <w:pPr>
        <w:pStyle w:val="FootnoteText"/>
        <w:jc w:val="both"/>
      </w:pPr>
      <w:r>
        <w:rPr>
          <w:rStyle w:val="FootnoteReference"/>
        </w:rPr>
        <w:footnoteRef/>
      </w:r>
      <w:r>
        <w:t xml:space="preserve"> </w:t>
      </w:r>
      <w:r w:rsidR="00787ADF">
        <w:rPr>
          <w:i/>
        </w:rPr>
        <w:t xml:space="preserve">Id. </w:t>
      </w:r>
      <w:r w:rsidR="00787ADF">
        <w:rPr>
          <w:iCs/>
        </w:rPr>
        <w:t>at 4950</w:t>
      </w:r>
      <w:r>
        <w:t xml:space="preserve">2 </w:t>
      </w:r>
      <w:r w:rsidR="00D26B39">
        <w:t xml:space="preserve">(to be codified at </w:t>
      </w:r>
      <w:hyperlink r:id="rId8" w:anchor="se2.1.200_11" w:history="1">
        <w:r w:rsidR="00D26B39" w:rsidRPr="00165D04">
          <w:rPr>
            <w:rStyle w:val="Hyperlink"/>
          </w:rPr>
          <w:t xml:space="preserve">2 </w:t>
        </w:r>
        <w:r w:rsidRPr="00165D04">
          <w:rPr>
            <w:rStyle w:val="Hyperlink"/>
          </w:rPr>
          <w:t>C.F.R. § 200.1</w:t>
        </w:r>
      </w:hyperlink>
      <w:r w:rsidR="00D26B39">
        <w:t>)</w:t>
      </w:r>
      <w:r>
        <w:t xml:space="preserve"> (definition of “Micro-purchase threshold”).</w:t>
      </w:r>
    </w:p>
  </w:footnote>
  <w:footnote w:id="9">
    <w:p w14:paraId="0B64A64F" w14:textId="03C0AE6C" w:rsidR="00B12EE3" w:rsidRPr="00B12EE3" w:rsidRDefault="00B12EE3" w:rsidP="00417637">
      <w:pPr>
        <w:pStyle w:val="FootnoteText"/>
        <w:jc w:val="both"/>
      </w:pPr>
      <w:r>
        <w:rPr>
          <w:rStyle w:val="FootnoteReference"/>
        </w:rPr>
        <w:footnoteRef/>
      </w:r>
      <w:r>
        <w:t xml:space="preserve"> </w:t>
      </w:r>
      <w:r w:rsidR="00FE4575">
        <w:rPr>
          <w:i/>
        </w:rPr>
        <w:t xml:space="preserve">Id. </w:t>
      </w:r>
      <w:r w:rsidR="00FE4575">
        <w:t xml:space="preserve">(to be codified at </w:t>
      </w:r>
      <w:hyperlink r:id="rId9" w:anchor="se2.1.200_1320" w:history="1">
        <w:r w:rsidRPr="00E36A15">
          <w:rPr>
            <w:rStyle w:val="Hyperlink"/>
          </w:rPr>
          <w:t>2 C.F.R. § 200.320</w:t>
        </w:r>
        <w:r w:rsidR="00845B82" w:rsidRPr="00E36A15">
          <w:rPr>
            <w:rStyle w:val="Hyperlink"/>
          </w:rPr>
          <w:t>(a)(1)(iv)</w:t>
        </w:r>
      </w:hyperlink>
      <w:r w:rsidR="00FE4575">
        <w:t>).</w:t>
      </w:r>
    </w:p>
  </w:footnote>
  <w:footnote w:id="10">
    <w:p w14:paraId="0C7D7AE9" w14:textId="0CD613A1" w:rsidR="00DD36B1" w:rsidRDefault="00DD36B1" w:rsidP="00417637">
      <w:pPr>
        <w:pStyle w:val="FootnoteText"/>
        <w:jc w:val="both"/>
      </w:pPr>
      <w:r>
        <w:rPr>
          <w:rStyle w:val="FootnoteReference"/>
        </w:rPr>
        <w:footnoteRef/>
      </w:r>
      <w:r>
        <w:t xml:space="preserve"> </w:t>
      </w:r>
      <w:r w:rsidR="00465FEC">
        <w:t>Subject to limited exceptions, a non-Federal entity must retain all “[f]</w:t>
      </w:r>
      <w:proofErr w:type="spellStart"/>
      <w:r w:rsidR="00465FEC">
        <w:t>inancial</w:t>
      </w:r>
      <w:proofErr w:type="spellEnd"/>
      <w:r w:rsidR="00465FEC">
        <w:t xml:space="preserve"> records, supporting documents, statistical records, and all other non-Federal entity records pertinent to a Federal award . . . for a </w:t>
      </w:r>
      <w:r w:rsidR="002664F4" w:rsidRPr="002664F4">
        <w:t>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subrecipient</w:t>
      </w:r>
      <w:r w:rsidR="002664F4">
        <w:t xml:space="preserve">.”).  </w:t>
      </w:r>
      <w:r w:rsidR="005100D1">
        <w:rPr>
          <w:i/>
          <w:iCs/>
        </w:rPr>
        <w:t>Id.</w:t>
      </w:r>
      <w:r w:rsidR="005100D1">
        <w:t xml:space="preserve"> at </w:t>
      </w:r>
      <w:r w:rsidR="0094080B">
        <w:t xml:space="preserve">49558 (to be codified at </w:t>
      </w:r>
      <w:hyperlink r:id="rId10" w:anchor="se2.1.200_1334" w:history="1">
        <w:r w:rsidR="002664F4" w:rsidRPr="00F95329">
          <w:rPr>
            <w:rStyle w:val="Hyperlink"/>
          </w:rPr>
          <w:t>2 C.F.R. § 200.334</w:t>
        </w:r>
      </w:hyperlink>
      <w:r w:rsidR="0094080B">
        <w:t xml:space="preserve">).  </w:t>
      </w:r>
    </w:p>
  </w:footnote>
  <w:footnote w:id="11">
    <w:p w14:paraId="2D25C371" w14:textId="4FC99068" w:rsidR="00D7595A" w:rsidRDefault="00D7595A" w:rsidP="00417637">
      <w:pPr>
        <w:pStyle w:val="FootnoteText"/>
        <w:jc w:val="both"/>
      </w:pPr>
      <w:r>
        <w:rPr>
          <w:rStyle w:val="FootnoteReference"/>
        </w:rPr>
        <w:footnoteRef/>
      </w:r>
      <w:r>
        <w:t xml:space="preserve"> </w:t>
      </w:r>
      <w:r w:rsidR="00F95329">
        <w:rPr>
          <w:i/>
        </w:rPr>
        <w:t xml:space="preserve">Id. </w:t>
      </w:r>
      <w:r w:rsidR="00F95329">
        <w:rPr>
          <w:iCs/>
        </w:rPr>
        <w:t xml:space="preserve">at 49552 (to be codified at </w:t>
      </w:r>
      <w:hyperlink r:id="rId11" w:anchor="se2.1.200_1320" w:history="1">
        <w:r w:rsidRPr="0019256D">
          <w:rPr>
            <w:rStyle w:val="Hyperlink"/>
          </w:rPr>
          <w:t>2 C.F.R. § 200.320(a)</w:t>
        </w:r>
        <w:r w:rsidR="005100D1" w:rsidRPr="0019256D">
          <w:rPr>
            <w:rStyle w:val="Hyperlink"/>
          </w:rPr>
          <w:t>(1)</w:t>
        </w:r>
        <w:r w:rsidRPr="0019256D">
          <w:rPr>
            <w:rStyle w:val="Hyperlink"/>
          </w:rPr>
          <w:t>(iv)(C)</w:t>
        </w:r>
      </w:hyperlink>
      <w:r w:rsidR="00F95329">
        <w:t>)</w:t>
      </w:r>
      <w:r w:rsidR="005100D1">
        <w:t>.</w:t>
      </w:r>
    </w:p>
  </w:footnote>
  <w:footnote w:id="12">
    <w:p w14:paraId="624F6B94" w14:textId="17EF2929" w:rsidR="00C90FEE" w:rsidRDefault="00C90FEE" w:rsidP="00417637">
      <w:pPr>
        <w:pStyle w:val="FootnoteText"/>
        <w:jc w:val="both"/>
      </w:pPr>
      <w:r>
        <w:rPr>
          <w:rStyle w:val="FootnoteReference"/>
        </w:rPr>
        <w:footnoteRef/>
      </w:r>
      <w:r>
        <w:t xml:space="preserve"> </w:t>
      </w:r>
      <w:hyperlink r:id="rId12" w:history="1">
        <w:r w:rsidRPr="009D2AC9">
          <w:rPr>
            <w:rStyle w:val="Hyperlink"/>
          </w:rPr>
          <w:t>N.C. Gen. Stat. § 143-129(a)</w:t>
        </w:r>
      </w:hyperlink>
      <w:r w:rsidR="009D2AC9">
        <w:t xml:space="preserve"> (formal bidding)</w:t>
      </w:r>
      <w:r>
        <w:t xml:space="preserve">; </w:t>
      </w:r>
      <w:hyperlink r:id="rId13" w:history="1">
        <w:r w:rsidRPr="00741579">
          <w:rPr>
            <w:rStyle w:val="Hyperlink"/>
          </w:rPr>
          <w:t>N.C. Gen. Stat. § 143-131(a)</w:t>
        </w:r>
      </w:hyperlink>
      <w:r w:rsidR="009D2AC9">
        <w:t xml:space="preserve"> (informal bidding)</w:t>
      </w:r>
      <w:r>
        <w:t>.</w:t>
      </w:r>
    </w:p>
  </w:footnote>
  <w:footnote w:id="13">
    <w:p w14:paraId="2F29C188" w14:textId="65B36DB4" w:rsidR="00741579" w:rsidRPr="00741579" w:rsidRDefault="00741579" w:rsidP="00417637">
      <w:pPr>
        <w:pStyle w:val="FootnoteText"/>
        <w:jc w:val="both"/>
        <w:rPr>
          <w:i/>
          <w:iCs/>
        </w:rPr>
      </w:pPr>
      <w:r>
        <w:rPr>
          <w:rStyle w:val="FootnoteReference"/>
        </w:rPr>
        <w:footnoteRef/>
      </w:r>
      <w:r>
        <w:t xml:space="preserve"> </w:t>
      </w:r>
      <w:hyperlink r:id="rId14" w:history="1">
        <w:r w:rsidRPr="00FE4575">
          <w:rPr>
            <w:rStyle w:val="Hyperlink"/>
          </w:rPr>
          <w:t xml:space="preserve">N.C. Gen. Stat. § 143-64.31 </w:t>
        </w:r>
        <w:r w:rsidRPr="00FE4575">
          <w:rPr>
            <w:rStyle w:val="Hyperlink"/>
            <w:i/>
            <w:iCs/>
          </w:rPr>
          <w:t>et seq.</w:t>
        </w:r>
      </w:hyperlink>
    </w:p>
  </w:footnote>
  <w:footnote w:id="14">
    <w:p w14:paraId="6BDB532B" w14:textId="7B61FA44" w:rsidR="00102315" w:rsidRDefault="00102315" w:rsidP="00417637">
      <w:pPr>
        <w:pStyle w:val="FootnoteText"/>
        <w:jc w:val="both"/>
      </w:pPr>
      <w:r>
        <w:rPr>
          <w:rStyle w:val="FootnoteReference"/>
        </w:rPr>
        <w:footnoteRef/>
      </w:r>
      <w:r>
        <w:t xml:space="preserve"> </w:t>
      </w:r>
      <w:hyperlink r:id="rId15" w:history="1">
        <w:r w:rsidRPr="00B9614B">
          <w:rPr>
            <w:rStyle w:val="Hyperlink"/>
          </w:rPr>
          <w:t>N.C. Gen. Stat. § 143-64.32</w:t>
        </w:r>
      </w:hyperlink>
      <w:r>
        <w:t>.</w:t>
      </w:r>
    </w:p>
  </w:footnote>
  <w:footnote w:id="15">
    <w:p w14:paraId="52B6612F" w14:textId="1DB85C81" w:rsidR="008A6FD0" w:rsidRDefault="008A6FD0" w:rsidP="00417637">
      <w:pPr>
        <w:pStyle w:val="FootnoteText"/>
        <w:jc w:val="both"/>
      </w:pPr>
      <w:r>
        <w:rPr>
          <w:rStyle w:val="FootnoteReference"/>
        </w:rPr>
        <w:footnoteRef/>
      </w:r>
      <w:r>
        <w:t xml:space="preserve"> </w:t>
      </w:r>
      <w:hyperlink r:id="rId16" w:history="1">
        <w:r w:rsidRPr="00FF702E">
          <w:rPr>
            <w:rStyle w:val="Hyperlink"/>
          </w:rPr>
          <w:t>48 C.F.R. § 2.101 (2020)</w:t>
        </w:r>
      </w:hyperlink>
      <w:r>
        <w:t xml:space="preserve"> (subject to limited exceptions, setting the micro-purchase threshold at $10,000).</w:t>
      </w:r>
    </w:p>
  </w:footnote>
  <w:footnote w:id="16">
    <w:p w14:paraId="4DFF3719" w14:textId="2DE0F688" w:rsidR="00727BCB" w:rsidRDefault="00727BCB" w:rsidP="00417637">
      <w:pPr>
        <w:pStyle w:val="FootnoteText"/>
        <w:jc w:val="both"/>
      </w:pPr>
      <w:r>
        <w:rPr>
          <w:rStyle w:val="FootnoteReference"/>
        </w:rPr>
        <w:footnoteRef/>
      </w:r>
      <w:r>
        <w:t xml:space="preserve"> </w:t>
      </w:r>
      <w:r w:rsidR="001B5434">
        <w:t xml:space="preserve">85 Fed. Reg. 49506, 49521 (August 13, 2020) (“The revisions to 2 CFR are not applicable to Federal financial assistance awards issued prior to the effective dates provided in the Dates section of this Notice of Final Guidance, including financial assistance awards issued prior to those dates under the Coronavirus Aid, Relief, and Economic Support (CARES) Act of 2020 (Pub. L. 116-136).”).  </w:t>
      </w:r>
    </w:p>
  </w:footnote>
  <w:footnote w:id="17">
    <w:p w14:paraId="53D2E12C" w14:textId="1AE0003D" w:rsidR="00902702" w:rsidRDefault="00902702" w:rsidP="00417637">
      <w:pPr>
        <w:pStyle w:val="FootnoteText"/>
        <w:jc w:val="both"/>
      </w:pPr>
      <w:r>
        <w:rPr>
          <w:rStyle w:val="FootnoteReference"/>
        </w:rPr>
        <w:footnoteRef/>
      </w:r>
      <w:r>
        <w:t xml:space="preserve"> The term “governing board” should be replaced with the proper name of the governing board (e.g., council or board).</w:t>
      </w:r>
    </w:p>
  </w:footnote>
  <w:footnote w:id="18">
    <w:p w14:paraId="6834CA95" w14:textId="68E4B619" w:rsidR="000F1D0F" w:rsidRDefault="000F1D0F" w:rsidP="00417637">
      <w:pPr>
        <w:pStyle w:val="FootnoteText"/>
        <w:jc w:val="both"/>
      </w:pPr>
      <w:r>
        <w:rPr>
          <w:rStyle w:val="FootnoteReference"/>
        </w:rPr>
        <w:footnoteRef/>
      </w:r>
      <w:r>
        <w:t xml:space="preserve"> The term “unit” </w:t>
      </w:r>
      <w:r w:rsidR="00902702">
        <w:t>should</w:t>
      </w:r>
      <w:r>
        <w:t xml:space="preserve"> be replaced with </w:t>
      </w:r>
      <w:r w:rsidR="00902702">
        <w:t xml:space="preserve">the </w:t>
      </w:r>
      <w:r>
        <w:t>proper name of the public entity</w:t>
      </w:r>
      <w:r w:rsidR="00902702">
        <w:t xml:space="preserve"> (e.g., town, city, village, or county).</w:t>
      </w:r>
    </w:p>
  </w:footnote>
  <w:footnote w:id="19">
    <w:p w14:paraId="3BBFE8FD" w14:textId="40A933E0" w:rsidR="00417637" w:rsidRDefault="00417637" w:rsidP="00417637">
      <w:pPr>
        <w:pStyle w:val="FootnoteText"/>
        <w:jc w:val="both"/>
      </w:pPr>
      <w:r>
        <w:rPr>
          <w:rStyle w:val="FootnoteReference"/>
        </w:rPr>
        <w:footnoteRef/>
      </w:r>
      <w:r>
        <w:t>All units of local government, regardless of audit findings, may raise the micro-purchase thresholds to levels “consistent with State law” pursuant to 2 C.F.R. § 200.320(a)(1)(iv)(C).</w:t>
      </w:r>
    </w:p>
  </w:footnote>
  <w:footnote w:id="20">
    <w:p w14:paraId="0AEF6C4E" w14:textId="66F5695E" w:rsidR="00867B54" w:rsidRDefault="00867B54" w:rsidP="00417637">
      <w:pPr>
        <w:pStyle w:val="FootnoteText"/>
        <w:jc w:val="both"/>
      </w:pPr>
      <w:r>
        <w:rPr>
          <w:rStyle w:val="FootnoteReference"/>
        </w:rPr>
        <w:footnoteRef/>
      </w:r>
      <w:r>
        <w:t xml:space="preserve"> </w:t>
      </w:r>
      <w:r w:rsidR="002445DF">
        <w:t>The self-certification must be made on annual basis.</w:t>
      </w:r>
      <w:r w:rsidR="00A30884">
        <w:t xml:space="preserve">  </w:t>
      </w:r>
      <w:r w:rsidR="00124D82">
        <w:t>A best practice is to adopt the self-certification at the beginning of each fiscal year.</w:t>
      </w:r>
    </w:p>
  </w:footnote>
  <w:footnote w:id="21">
    <w:p w14:paraId="4FB188F5" w14:textId="5779D76A" w:rsidR="005F0B21" w:rsidRDefault="005F0B21">
      <w:pPr>
        <w:pStyle w:val="FootnoteText"/>
      </w:pPr>
      <w:r>
        <w:rPr>
          <w:rStyle w:val="FootnoteReference"/>
        </w:rPr>
        <w:footnoteRef/>
      </w:r>
      <w:r>
        <w:t xml:space="preserve"> Include those officers and employees with </w:t>
      </w:r>
      <w:r w:rsidR="003E0E40">
        <w:t>authority to revise the Unit’s purchasing policy.</w:t>
      </w:r>
    </w:p>
  </w:footnote>
  <w:footnote w:id="22">
    <w:p w14:paraId="2AAD9F5C" w14:textId="3758B866" w:rsidR="003F4764" w:rsidRDefault="003F4764" w:rsidP="00417637">
      <w:pPr>
        <w:pStyle w:val="FootnoteText"/>
        <w:jc w:val="both"/>
      </w:pPr>
      <w:r>
        <w:rPr>
          <w:rStyle w:val="FootnoteReference"/>
        </w:rPr>
        <w:footnoteRef/>
      </w:r>
      <w:r>
        <w:t xml:space="preserve"> </w:t>
      </w:r>
      <w:r w:rsidR="00C57BD0">
        <w:t>A</w:t>
      </w:r>
      <w:r>
        <w:t xml:space="preserve"> Unit may </w:t>
      </w:r>
      <w:r w:rsidR="00011666">
        <w:t>format this resolution to include</w:t>
      </w:r>
      <w:r w:rsidR="002445DF">
        <w:t xml:space="preserve"> its standard resolution </w:t>
      </w:r>
      <w:r w:rsidR="00CC21A8">
        <w:t>information (e.g., resolution number or vote tally).</w:t>
      </w:r>
      <w:r w:rsidR="0001166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16DE" w14:textId="0CA249CD" w:rsidR="00D6113A" w:rsidRDefault="00D6113A" w:rsidP="00D6113A">
    <w:pPr>
      <w:pStyle w:val="Header"/>
      <w:jc w:val="right"/>
    </w:pPr>
    <w:r>
      <w:t>UNC School of Government</w:t>
    </w:r>
  </w:p>
  <w:p w14:paraId="48F603FB" w14:textId="0F9CC8A8" w:rsidR="0027658E" w:rsidRDefault="0027658E" w:rsidP="00D6113A">
    <w:pPr>
      <w:pStyle w:val="Header"/>
      <w:jc w:val="right"/>
    </w:pPr>
    <w:r>
      <w:t>Connor Crews</w:t>
    </w:r>
  </w:p>
  <w:p w14:paraId="0E1B1FD5" w14:textId="3BC490BE" w:rsidR="007A62B7" w:rsidRDefault="004543EC" w:rsidP="00D6113A">
    <w:pPr>
      <w:pStyle w:val="Header"/>
      <w:jc w:val="right"/>
    </w:pPr>
    <w:r>
      <w:t xml:space="preserve">April </w:t>
    </w:r>
    <w:r w:rsidR="00750EAE">
      <w:t>23</w:t>
    </w:r>
    <w:r>
      <w:t>, 2021</w:t>
    </w:r>
  </w:p>
  <w:p w14:paraId="27E52CAA" w14:textId="77777777" w:rsidR="0027658E" w:rsidRDefault="0027658E" w:rsidP="00D611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3BD0" w14:textId="77777777" w:rsidR="00FF56D1" w:rsidRDefault="00FF56D1" w:rsidP="00D6113A">
    <w:pPr>
      <w:pStyle w:val="Header"/>
      <w:jc w:val="right"/>
    </w:pPr>
    <w:r>
      <w:t>UNC School of Government</w:t>
    </w:r>
  </w:p>
  <w:p w14:paraId="337C6617" w14:textId="101E0180" w:rsidR="00FF56D1" w:rsidRDefault="00FF56D1" w:rsidP="00D6113A">
    <w:pPr>
      <w:pStyle w:val="Header"/>
      <w:jc w:val="right"/>
    </w:pPr>
    <w:r>
      <w:t xml:space="preserve">April </w:t>
    </w:r>
    <w:r w:rsidR="00AA6B45">
      <w:t>23</w:t>
    </w:r>
    <w:r>
      <w:t>, 2021</w:t>
    </w:r>
  </w:p>
  <w:p w14:paraId="46655DCA" w14:textId="77777777" w:rsidR="00FF56D1" w:rsidRDefault="00FF56D1" w:rsidP="00D6113A">
    <w:pPr>
      <w:pStyle w:val="Header"/>
      <w:jc w:val="right"/>
    </w:pPr>
  </w:p>
  <w:p w14:paraId="7BE35841" w14:textId="07C344E2" w:rsidR="00ED5549" w:rsidRDefault="00BB7721" w:rsidP="00ED5549">
    <w:pPr>
      <w:pStyle w:val="Header"/>
      <w:jc w:val="center"/>
      <w:rPr>
        <w:b/>
        <w:bCs/>
      </w:rPr>
    </w:pPr>
    <w:r>
      <w:rPr>
        <w:b/>
        <w:bCs/>
      </w:rPr>
      <w:tab/>
    </w:r>
    <w:r>
      <w:rPr>
        <w:b/>
        <w:bCs/>
      </w:rPr>
      <w:tab/>
    </w:r>
    <w:r w:rsidR="00ED5549">
      <w:rPr>
        <w:b/>
        <w:bCs/>
      </w:rPr>
      <w:t>RESOLUTION TEMPLATE</w:t>
    </w:r>
  </w:p>
  <w:p w14:paraId="618122E2" w14:textId="77777777" w:rsidR="00FF56D1" w:rsidRDefault="00FF56D1" w:rsidP="00D61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4270"/>
    <w:multiLevelType w:val="hybridMultilevel"/>
    <w:tmpl w:val="15B2A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26"/>
    <w:rsid w:val="00005DC8"/>
    <w:rsid w:val="00011666"/>
    <w:rsid w:val="000448D5"/>
    <w:rsid w:val="00046B6C"/>
    <w:rsid w:val="00050774"/>
    <w:rsid w:val="00052DB5"/>
    <w:rsid w:val="000557A0"/>
    <w:rsid w:val="00072736"/>
    <w:rsid w:val="00076509"/>
    <w:rsid w:val="000813DF"/>
    <w:rsid w:val="0008706C"/>
    <w:rsid w:val="00087BE0"/>
    <w:rsid w:val="000A387F"/>
    <w:rsid w:val="000B54A1"/>
    <w:rsid w:val="000C01E3"/>
    <w:rsid w:val="000F1D0F"/>
    <w:rsid w:val="000F271C"/>
    <w:rsid w:val="00102315"/>
    <w:rsid w:val="0010356F"/>
    <w:rsid w:val="00124D82"/>
    <w:rsid w:val="00132CE6"/>
    <w:rsid w:val="0013605E"/>
    <w:rsid w:val="00143375"/>
    <w:rsid w:val="00157D5E"/>
    <w:rsid w:val="00165416"/>
    <w:rsid w:val="00165D04"/>
    <w:rsid w:val="0019256D"/>
    <w:rsid w:val="00194396"/>
    <w:rsid w:val="00194ED2"/>
    <w:rsid w:val="00196D37"/>
    <w:rsid w:val="001A1D75"/>
    <w:rsid w:val="001A4D40"/>
    <w:rsid w:val="001A5405"/>
    <w:rsid w:val="001A7A1F"/>
    <w:rsid w:val="001B5434"/>
    <w:rsid w:val="001E3126"/>
    <w:rsid w:val="001E6010"/>
    <w:rsid w:val="001F12F8"/>
    <w:rsid w:val="0020460D"/>
    <w:rsid w:val="00205329"/>
    <w:rsid w:val="002178D7"/>
    <w:rsid w:val="0022229A"/>
    <w:rsid w:val="00223081"/>
    <w:rsid w:val="002445DF"/>
    <w:rsid w:val="002664F4"/>
    <w:rsid w:val="00273427"/>
    <w:rsid w:val="00273777"/>
    <w:rsid w:val="0027658E"/>
    <w:rsid w:val="00281D3D"/>
    <w:rsid w:val="0029433D"/>
    <w:rsid w:val="0029500D"/>
    <w:rsid w:val="002A039B"/>
    <w:rsid w:val="002A28D6"/>
    <w:rsid w:val="002A32A5"/>
    <w:rsid w:val="002A3FBE"/>
    <w:rsid w:val="002B38A5"/>
    <w:rsid w:val="002C69F9"/>
    <w:rsid w:val="002D15B5"/>
    <w:rsid w:val="002E4D8D"/>
    <w:rsid w:val="002E60EE"/>
    <w:rsid w:val="002F7098"/>
    <w:rsid w:val="003120C3"/>
    <w:rsid w:val="00312CA6"/>
    <w:rsid w:val="00315602"/>
    <w:rsid w:val="00320ECA"/>
    <w:rsid w:val="00353A00"/>
    <w:rsid w:val="003606AF"/>
    <w:rsid w:val="003720C0"/>
    <w:rsid w:val="00372CF7"/>
    <w:rsid w:val="003802E7"/>
    <w:rsid w:val="00383F48"/>
    <w:rsid w:val="00384B3F"/>
    <w:rsid w:val="00393262"/>
    <w:rsid w:val="003A0ECC"/>
    <w:rsid w:val="003A3693"/>
    <w:rsid w:val="003A74A5"/>
    <w:rsid w:val="003C5362"/>
    <w:rsid w:val="003D25C4"/>
    <w:rsid w:val="003E0E40"/>
    <w:rsid w:val="003E141C"/>
    <w:rsid w:val="003E6AC4"/>
    <w:rsid w:val="003F4764"/>
    <w:rsid w:val="003F77EB"/>
    <w:rsid w:val="00405027"/>
    <w:rsid w:val="004107C5"/>
    <w:rsid w:val="00417637"/>
    <w:rsid w:val="00427DEA"/>
    <w:rsid w:val="004543EC"/>
    <w:rsid w:val="00454BDA"/>
    <w:rsid w:val="00455FCC"/>
    <w:rsid w:val="00456BA2"/>
    <w:rsid w:val="00465FEC"/>
    <w:rsid w:val="004720A1"/>
    <w:rsid w:val="0049481D"/>
    <w:rsid w:val="00496459"/>
    <w:rsid w:val="00496518"/>
    <w:rsid w:val="004B0BED"/>
    <w:rsid w:val="004B2496"/>
    <w:rsid w:val="004C166B"/>
    <w:rsid w:val="004D601F"/>
    <w:rsid w:val="004E4169"/>
    <w:rsid w:val="004E4B78"/>
    <w:rsid w:val="004E738C"/>
    <w:rsid w:val="004F5D73"/>
    <w:rsid w:val="00501E7E"/>
    <w:rsid w:val="005100D1"/>
    <w:rsid w:val="00510CA8"/>
    <w:rsid w:val="005123D5"/>
    <w:rsid w:val="00515ACE"/>
    <w:rsid w:val="00515CA3"/>
    <w:rsid w:val="00531B0F"/>
    <w:rsid w:val="005329C4"/>
    <w:rsid w:val="00533586"/>
    <w:rsid w:val="005356F0"/>
    <w:rsid w:val="005376E2"/>
    <w:rsid w:val="00544C7C"/>
    <w:rsid w:val="00557013"/>
    <w:rsid w:val="0057228B"/>
    <w:rsid w:val="00581083"/>
    <w:rsid w:val="00583FDE"/>
    <w:rsid w:val="00595002"/>
    <w:rsid w:val="005A4AF7"/>
    <w:rsid w:val="005B30F6"/>
    <w:rsid w:val="005B6BCD"/>
    <w:rsid w:val="005C5E3C"/>
    <w:rsid w:val="005D4770"/>
    <w:rsid w:val="005E1564"/>
    <w:rsid w:val="005E1F31"/>
    <w:rsid w:val="005E31BD"/>
    <w:rsid w:val="005F0B21"/>
    <w:rsid w:val="00604C2B"/>
    <w:rsid w:val="006265BF"/>
    <w:rsid w:val="00632ECA"/>
    <w:rsid w:val="00636CD0"/>
    <w:rsid w:val="0064504E"/>
    <w:rsid w:val="006501D1"/>
    <w:rsid w:val="00655A63"/>
    <w:rsid w:val="00682CAB"/>
    <w:rsid w:val="00690625"/>
    <w:rsid w:val="006913F8"/>
    <w:rsid w:val="00691AB6"/>
    <w:rsid w:val="00695D0B"/>
    <w:rsid w:val="0069649B"/>
    <w:rsid w:val="006A35C2"/>
    <w:rsid w:val="006A5E71"/>
    <w:rsid w:val="006B0894"/>
    <w:rsid w:val="006B095E"/>
    <w:rsid w:val="006B4080"/>
    <w:rsid w:val="006B4EAC"/>
    <w:rsid w:val="006B7FA1"/>
    <w:rsid w:val="006C4692"/>
    <w:rsid w:val="006D5125"/>
    <w:rsid w:val="006D5BB3"/>
    <w:rsid w:val="006F2E52"/>
    <w:rsid w:val="00721685"/>
    <w:rsid w:val="007261F9"/>
    <w:rsid w:val="00727BCB"/>
    <w:rsid w:val="00733D5B"/>
    <w:rsid w:val="00735197"/>
    <w:rsid w:val="00735508"/>
    <w:rsid w:val="00741579"/>
    <w:rsid w:val="00742207"/>
    <w:rsid w:val="00750EAE"/>
    <w:rsid w:val="00762C57"/>
    <w:rsid w:val="00774794"/>
    <w:rsid w:val="00787ADF"/>
    <w:rsid w:val="007971A1"/>
    <w:rsid w:val="007A162D"/>
    <w:rsid w:val="007A49F5"/>
    <w:rsid w:val="007A4C5D"/>
    <w:rsid w:val="007A627A"/>
    <w:rsid w:val="007A62B7"/>
    <w:rsid w:val="007A6D13"/>
    <w:rsid w:val="007A7378"/>
    <w:rsid w:val="007B1B98"/>
    <w:rsid w:val="007B3303"/>
    <w:rsid w:val="007B650C"/>
    <w:rsid w:val="007B79BC"/>
    <w:rsid w:val="007D0ED9"/>
    <w:rsid w:val="007D18A0"/>
    <w:rsid w:val="00806F22"/>
    <w:rsid w:val="008121FE"/>
    <w:rsid w:val="00823B7D"/>
    <w:rsid w:val="0083672C"/>
    <w:rsid w:val="008451EA"/>
    <w:rsid w:val="00845B82"/>
    <w:rsid w:val="00850B3A"/>
    <w:rsid w:val="008634CD"/>
    <w:rsid w:val="00863874"/>
    <w:rsid w:val="00867627"/>
    <w:rsid w:val="00867B54"/>
    <w:rsid w:val="008705C1"/>
    <w:rsid w:val="0088225B"/>
    <w:rsid w:val="008826EE"/>
    <w:rsid w:val="00884B3A"/>
    <w:rsid w:val="00890933"/>
    <w:rsid w:val="00895D23"/>
    <w:rsid w:val="008A147C"/>
    <w:rsid w:val="008A6FD0"/>
    <w:rsid w:val="008B3CAF"/>
    <w:rsid w:val="008D1845"/>
    <w:rsid w:val="008D6314"/>
    <w:rsid w:val="008D718F"/>
    <w:rsid w:val="008E14FE"/>
    <w:rsid w:val="008E7041"/>
    <w:rsid w:val="008F7767"/>
    <w:rsid w:val="00902702"/>
    <w:rsid w:val="0090478C"/>
    <w:rsid w:val="0091146A"/>
    <w:rsid w:val="00915E3F"/>
    <w:rsid w:val="00924877"/>
    <w:rsid w:val="009317CF"/>
    <w:rsid w:val="00933A9C"/>
    <w:rsid w:val="00934F5A"/>
    <w:rsid w:val="0094080B"/>
    <w:rsid w:val="009444C9"/>
    <w:rsid w:val="00962E85"/>
    <w:rsid w:val="009663D1"/>
    <w:rsid w:val="00973A88"/>
    <w:rsid w:val="00976822"/>
    <w:rsid w:val="00986BDA"/>
    <w:rsid w:val="009870B5"/>
    <w:rsid w:val="009A2CA0"/>
    <w:rsid w:val="009A60F8"/>
    <w:rsid w:val="009C3A6F"/>
    <w:rsid w:val="009C4242"/>
    <w:rsid w:val="009C4419"/>
    <w:rsid w:val="009D0D50"/>
    <w:rsid w:val="009D2AC9"/>
    <w:rsid w:val="009D3DA7"/>
    <w:rsid w:val="009D4C0B"/>
    <w:rsid w:val="009D7BD7"/>
    <w:rsid w:val="009E6904"/>
    <w:rsid w:val="009F40DF"/>
    <w:rsid w:val="00A01BF2"/>
    <w:rsid w:val="00A01F92"/>
    <w:rsid w:val="00A02979"/>
    <w:rsid w:val="00A071A5"/>
    <w:rsid w:val="00A07243"/>
    <w:rsid w:val="00A11629"/>
    <w:rsid w:val="00A15747"/>
    <w:rsid w:val="00A26AB9"/>
    <w:rsid w:val="00A30884"/>
    <w:rsid w:val="00A33B20"/>
    <w:rsid w:val="00A3582A"/>
    <w:rsid w:val="00A4060F"/>
    <w:rsid w:val="00A629A8"/>
    <w:rsid w:val="00A92C48"/>
    <w:rsid w:val="00A953F9"/>
    <w:rsid w:val="00AA6B45"/>
    <w:rsid w:val="00AB0F7F"/>
    <w:rsid w:val="00AB3DCE"/>
    <w:rsid w:val="00AB6B04"/>
    <w:rsid w:val="00AC2AF8"/>
    <w:rsid w:val="00AD2BC7"/>
    <w:rsid w:val="00AD4635"/>
    <w:rsid w:val="00AE5783"/>
    <w:rsid w:val="00AF0DC8"/>
    <w:rsid w:val="00B00F6E"/>
    <w:rsid w:val="00B07B27"/>
    <w:rsid w:val="00B12EE3"/>
    <w:rsid w:val="00B3332F"/>
    <w:rsid w:val="00B33B3B"/>
    <w:rsid w:val="00B41EF4"/>
    <w:rsid w:val="00B53A0B"/>
    <w:rsid w:val="00B55994"/>
    <w:rsid w:val="00B649F9"/>
    <w:rsid w:val="00B727F2"/>
    <w:rsid w:val="00B73836"/>
    <w:rsid w:val="00B77B4C"/>
    <w:rsid w:val="00B81C57"/>
    <w:rsid w:val="00B87838"/>
    <w:rsid w:val="00B92A54"/>
    <w:rsid w:val="00B945CF"/>
    <w:rsid w:val="00B9614B"/>
    <w:rsid w:val="00BA6F98"/>
    <w:rsid w:val="00BB225A"/>
    <w:rsid w:val="00BB7721"/>
    <w:rsid w:val="00BC25CD"/>
    <w:rsid w:val="00BC2966"/>
    <w:rsid w:val="00BE17C9"/>
    <w:rsid w:val="00BE3810"/>
    <w:rsid w:val="00BF2EF2"/>
    <w:rsid w:val="00C01372"/>
    <w:rsid w:val="00C03CAF"/>
    <w:rsid w:val="00C146F5"/>
    <w:rsid w:val="00C17B93"/>
    <w:rsid w:val="00C219A6"/>
    <w:rsid w:val="00C24E1C"/>
    <w:rsid w:val="00C44136"/>
    <w:rsid w:val="00C57BD0"/>
    <w:rsid w:val="00C86406"/>
    <w:rsid w:val="00C86626"/>
    <w:rsid w:val="00C90FEE"/>
    <w:rsid w:val="00CC21A8"/>
    <w:rsid w:val="00CC2EE0"/>
    <w:rsid w:val="00CC78F6"/>
    <w:rsid w:val="00CE7CC2"/>
    <w:rsid w:val="00CF7126"/>
    <w:rsid w:val="00D02AEA"/>
    <w:rsid w:val="00D0601D"/>
    <w:rsid w:val="00D20F39"/>
    <w:rsid w:val="00D21B32"/>
    <w:rsid w:val="00D26B39"/>
    <w:rsid w:val="00D3414C"/>
    <w:rsid w:val="00D36A50"/>
    <w:rsid w:val="00D47090"/>
    <w:rsid w:val="00D5142D"/>
    <w:rsid w:val="00D55AFD"/>
    <w:rsid w:val="00D55F51"/>
    <w:rsid w:val="00D6113A"/>
    <w:rsid w:val="00D651D3"/>
    <w:rsid w:val="00D65D1C"/>
    <w:rsid w:val="00D70D22"/>
    <w:rsid w:val="00D732D7"/>
    <w:rsid w:val="00D7595A"/>
    <w:rsid w:val="00DA3A6A"/>
    <w:rsid w:val="00DA6343"/>
    <w:rsid w:val="00DC1665"/>
    <w:rsid w:val="00DD104E"/>
    <w:rsid w:val="00DD36B1"/>
    <w:rsid w:val="00DE0B4B"/>
    <w:rsid w:val="00DE11F9"/>
    <w:rsid w:val="00DE5D5F"/>
    <w:rsid w:val="00DF3FAC"/>
    <w:rsid w:val="00DF4EF5"/>
    <w:rsid w:val="00E26035"/>
    <w:rsid w:val="00E27B45"/>
    <w:rsid w:val="00E35327"/>
    <w:rsid w:val="00E36A15"/>
    <w:rsid w:val="00E375C3"/>
    <w:rsid w:val="00E41785"/>
    <w:rsid w:val="00E55CB5"/>
    <w:rsid w:val="00E71AE6"/>
    <w:rsid w:val="00EA4495"/>
    <w:rsid w:val="00EB33AB"/>
    <w:rsid w:val="00ED0A33"/>
    <w:rsid w:val="00ED5549"/>
    <w:rsid w:val="00EE2009"/>
    <w:rsid w:val="00EE27DB"/>
    <w:rsid w:val="00F00D96"/>
    <w:rsid w:val="00F1704C"/>
    <w:rsid w:val="00F3325D"/>
    <w:rsid w:val="00F36BB7"/>
    <w:rsid w:val="00F37BDE"/>
    <w:rsid w:val="00F50DAC"/>
    <w:rsid w:val="00F51BC7"/>
    <w:rsid w:val="00F524C6"/>
    <w:rsid w:val="00F55B23"/>
    <w:rsid w:val="00F72A76"/>
    <w:rsid w:val="00F745B1"/>
    <w:rsid w:val="00F7525F"/>
    <w:rsid w:val="00F7770F"/>
    <w:rsid w:val="00F9166F"/>
    <w:rsid w:val="00F91B9A"/>
    <w:rsid w:val="00F94118"/>
    <w:rsid w:val="00F95329"/>
    <w:rsid w:val="00FB1A04"/>
    <w:rsid w:val="00FD201F"/>
    <w:rsid w:val="00FD2F86"/>
    <w:rsid w:val="00FD7836"/>
    <w:rsid w:val="00FE3078"/>
    <w:rsid w:val="00FE4575"/>
    <w:rsid w:val="00FE7438"/>
    <w:rsid w:val="00FF56D1"/>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042A9"/>
  <w15:chartTrackingRefBased/>
  <w15:docId w15:val="{E6271AF2-6E07-4ACD-9C84-B2D7FFF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9C4"/>
  </w:style>
  <w:style w:type="paragraph" w:styleId="Footer">
    <w:name w:val="footer"/>
    <w:basedOn w:val="Normal"/>
    <w:link w:val="FooterChar"/>
    <w:uiPriority w:val="99"/>
    <w:unhideWhenUsed/>
    <w:rsid w:val="0053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9C4"/>
  </w:style>
  <w:style w:type="paragraph" w:styleId="FootnoteText">
    <w:name w:val="footnote text"/>
    <w:basedOn w:val="Normal"/>
    <w:link w:val="FootnoteTextChar"/>
    <w:uiPriority w:val="99"/>
    <w:semiHidden/>
    <w:unhideWhenUsed/>
    <w:rsid w:val="000F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D0F"/>
    <w:rPr>
      <w:sz w:val="20"/>
      <w:szCs w:val="20"/>
    </w:rPr>
  </w:style>
  <w:style w:type="character" w:styleId="FootnoteReference">
    <w:name w:val="footnote reference"/>
    <w:basedOn w:val="DefaultParagraphFont"/>
    <w:uiPriority w:val="99"/>
    <w:semiHidden/>
    <w:unhideWhenUsed/>
    <w:rsid w:val="000F1D0F"/>
    <w:rPr>
      <w:vertAlign w:val="superscript"/>
    </w:rPr>
  </w:style>
  <w:style w:type="character" w:styleId="CommentReference">
    <w:name w:val="annotation reference"/>
    <w:basedOn w:val="DefaultParagraphFont"/>
    <w:uiPriority w:val="99"/>
    <w:semiHidden/>
    <w:unhideWhenUsed/>
    <w:rsid w:val="00867B54"/>
    <w:rPr>
      <w:sz w:val="16"/>
      <w:szCs w:val="16"/>
    </w:rPr>
  </w:style>
  <w:style w:type="paragraph" w:styleId="CommentText">
    <w:name w:val="annotation text"/>
    <w:basedOn w:val="Normal"/>
    <w:link w:val="CommentTextChar"/>
    <w:uiPriority w:val="99"/>
    <w:semiHidden/>
    <w:unhideWhenUsed/>
    <w:rsid w:val="00867B54"/>
    <w:pPr>
      <w:spacing w:line="240" w:lineRule="auto"/>
    </w:pPr>
    <w:rPr>
      <w:sz w:val="20"/>
      <w:szCs w:val="20"/>
    </w:rPr>
  </w:style>
  <w:style w:type="character" w:customStyle="1" w:styleId="CommentTextChar">
    <w:name w:val="Comment Text Char"/>
    <w:basedOn w:val="DefaultParagraphFont"/>
    <w:link w:val="CommentText"/>
    <w:uiPriority w:val="99"/>
    <w:semiHidden/>
    <w:rsid w:val="00867B54"/>
    <w:rPr>
      <w:sz w:val="20"/>
      <w:szCs w:val="20"/>
    </w:rPr>
  </w:style>
  <w:style w:type="paragraph" w:styleId="CommentSubject">
    <w:name w:val="annotation subject"/>
    <w:basedOn w:val="CommentText"/>
    <w:next w:val="CommentText"/>
    <w:link w:val="CommentSubjectChar"/>
    <w:uiPriority w:val="99"/>
    <w:semiHidden/>
    <w:unhideWhenUsed/>
    <w:rsid w:val="00867B54"/>
    <w:rPr>
      <w:b/>
      <w:bCs/>
    </w:rPr>
  </w:style>
  <w:style w:type="character" w:customStyle="1" w:styleId="CommentSubjectChar">
    <w:name w:val="Comment Subject Char"/>
    <w:basedOn w:val="CommentTextChar"/>
    <w:link w:val="CommentSubject"/>
    <w:uiPriority w:val="99"/>
    <w:semiHidden/>
    <w:rsid w:val="00867B54"/>
    <w:rPr>
      <w:b/>
      <w:bCs/>
      <w:sz w:val="20"/>
      <w:szCs w:val="20"/>
    </w:rPr>
  </w:style>
  <w:style w:type="character" w:styleId="Hyperlink">
    <w:name w:val="Hyperlink"/>
    <w:basedOn w:val="DefaultParagraphFont"/>
    <w:uiPriority w:val="99"/>
    <w:unhideWhenUsed/>
    <w:rsid w:val="003720C0"/>
    <w:rPr>
      <w:color w:val="0563C1"/>
      <w:u w:val="single"/>
    </w:rPr>
  </w:style>
  <w:style w:type="character" w:styleId="FollowedHyperlink">
    <w:name w:val="FollowedHyperlink"/>
    <w:basedOn w:val="DefaultParagraphFont"/>
    <w:uiPriority w:val="99"/>
    <w:semiHidden/>
    <w:unhideWhenUsed/>
    <w:rsid w:val="0022229A"/>
    <w:rPr>
      <w:color w:val="954F72" w:themeColor="followedHyperlink"/>
      <w:u w:val="single"/>
    </w:rPr>
  </w:style>
  <w:style w:type="character" w:styleId="UnresolvedMention">
    <w:name w:val="Unresolved Mention"/>
    <w:basedOn w:val="DefaultParagraphFont"/>
    <w:uiPriority w:val="99"/>
    <w:semiHidden/>
    <w:unhideWhenUsed/>
    <w:rsid w:val="00690625"/>
    <w:rPr>
      <w:color w:val="605E5C"/>
      <w:shd w:val="clear" w:color="auto" w:fill="E1DFDD"/>
    </w:rPr>
  </w:style>
  <w:style w:type="paragraph" w:styleId="ListParagraph">
    <w:name w:val="List Paragraph"/>
    <w:basedOn w:val="Normal"/>
    <w:uiPriority w:val="34"/>
    <w:qFormat/>
    <w:rsid w:val="0082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3118">
      <w:bodyDiv w:val="1"/>
      <w:marLeft w:val="0"/>
      <w:marRight w:val="0"/>
      <w:marTop w:val="0"/>
      <w:marBottom w:val="0"/>
      <w:divBdr>
        <w:top w:val="none" w:sz="0" w:space="0" w:color="auto"/>
        <w:left w:val="none" w:sz="0" w:space="0" w:color="auto"/>
        <w:bottom w:val="none" w:sz="0" w:space="0" w:color="auto"/>
        <w:right w:val="none" w:sz="0" w:space="0" w:color="auto"/>
      </w:divBdr>
    </w:div>
    <w:div w:id="7658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ews@sog.un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cfr.gov/cgi-bin/retrieveECFR?gp=&amp;SID=4a7f1e1dd9eb30318cd17d70539be85d&amp;mc=true&amp;n=pt2.1.200&amp;r=PART&amp;ty=HTML" TargetMode="External"/><Relationship Id="rId13" Type="http://schemas.openxmlformats.org/officeDocument/2006/relationships/hyperlink" Target="https://www.ncleg.net/EnactedLegislation/Statutes/HTML/BySection/Chapter_143/GS_143-131.html" TargetMode="External"/><Relationship Id="rId3" Type="http://schemas.openxmlformats.org/officeDocument/2006/relationships/hyperlink" Target="https://www.ecfr.gov/cgi-bin/retrieveECFR?gp=&amp;SID=4a7f1e1dd9eb30318cd17d70539be85d&amp;mc=true&amp;n=sp2.1.200.d&amp;r=SUBPART&amp;ty=HTML" TargetMode="External"/><Relationship Id="rId7" Type="http://schemas.openxmlformats.org/officeDocument/2006/relationships/hyperlink" Target="https://www.govinfo.gov/content/pkg/FR-2020-08-13/pdf/2020-17468.pdf" TargetMode="External"/><Relationship Id="rId12" Type="http://schemas.openxmlformats.org/officeDocument/2006/relationships/hyperlink" Target="https://www.ncleg.gov/EnactedLegislation/Statutes/PDF/BySection/Chapter_143/GS_143-129.pdf" TargetMode="External"/><Relationship Id="rId2" Type="http://schemas.openxmlformats.org/officeDocument/2006/relationships/hyperlink" Target="https://www.ecfr.gov/cgi-bin/text-idx?node=se2.1.200_1320&amp;rgn=div8" TargetMode="External"/><Relationship Id="rId16" Type="http://schemas.openxmlformats.org/officeDocument/2006/relationships/hyperlink" Target="https://www.ecfr.gov/cgi-bin/text-idx?node=sp48.1.2.2_11&amp;rgn=div6" TargetMode="External"/><Relationship Id="rId1" Type="http://schemas.openxmlformats.org/officeDocument/2006/relationships/hyperlink" Target="https://www.govinfo.gov/content/pkg/FR-2020-08-13/pdf/2020-17468.pdf" TargetMode="External"/><Relationship Id="rId6" Type="http://schemas.openxmlformats.org/officeDocument/2006/relationships/hyperlink" Target="https://www.whitehouse.gov/wp-content/uploads/2018/06/M-18-18.pdf" TargetMode="External"/><Relationship Id="rId11" Type="http://schemas.openxmlformats.org/officeDocument/2006/relationships/hyperlink" Target="https://www.ecfr.gov/cgi-bin/retrieveECFR?gp=&amp;SID=4a7f1e1dd9eb30318cd17d70539be85d&amp;mc=true&amp;n=sp2.1.200.d&amp;r=SUBPART&amp;ty=HTML" TargetMode="External"/><Relationship Id="rId5" Type="http://schemas.openxmlformats.org/officeDocument/2006/relationships/hyperlink" Target="https://www.ecfr.gov/cgi-bin/retrieveECFR?gp=&amp;SID=4a7f1e1dd9eb30318cd17d70539be85d&amp;mc=true&amp;n=sp2.1.200.d&amp;r=SUBPART&amp;ty=HTML" TargetMode="External"/><Relationship Id="rId15" Type="http://schemas.openxmlformats.org/officeDocument/2006/relationships/hyperlink" Target="https://www.ncleg.net/EnactedLegislation/Statutes/HTML/BySection/Chapter_143/GS_143-64.32.html" TargetMode="External"/><Relationship Id="rId10" Type="http://schemas.openxmlformats.org/officeDocument/2006/relationships/hyperlink" Target="https://www.ecfr.gov/cgi-bin/retrieveECFR?gp=&amp;SID=4a7f1e1dd9eb30318cd17d70539be85d&amp;mc=true&amp;n=sp2.1.200.d&amp;r=SUBPART&amp;ty=HTML" TargetMode="External"/><Relationship Id="rId4" Type="http://schemas.openxmlformats.org/officeDocument/2006/relationships/hyperlink" Target="https://www.ecfr.gov/cgi-bin/retrieveECFR?gp=&amp;SID=4a7f1e1dd9eb30318cd17d70539be85d&amp;mc=true&amp;n=sp2.1.200.d&amp;r=SUBPART&amp;ty=HTML" TargetMode="External"/><Relationship Id="rId9" Type="http://schemas.openxmlformats.org/officeDocument/2006/relationships/hyperlink" Target="https://www.ecfr.gov/cgi-bin/retrieveECFR?gp=&amp;SID=4a7f1e1dd9eb30318cd17d70539be85d&amp;mc=true&amp;n=sp2.1.200.d&amp;r=SUBPART&amp;ty=HTML" TargetMode="External"/><Relationship Id="rId14" Type="http://schemas.openxmlformats.org/officeDocument/2006/relationships/hyperlink" Target="https://www.ncleg.net/EnactedLegislation/Statutes/HTML/ByArticle/Chapter_143/Article_3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6E8A-3D5E-4692-A6F5-AA39ED75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Connor H.</dc:creator>
  <cp:keywords/>
  <dc:description/>
  <cp:lastModifiedBy>Crews, Connor H.</cp:lastModifiedBy>
  <cp:revision>19</cp:revision>
  <cp:lastPrinted>2021-03-09T21:01:00Z</cp:lastPrinted>
  <dcterms:created xsi:type="dcterms:W3CDTF">2021-04-22T14:08:00Z</dcterms:created>
  <dcterms:modified xsi:type="dcterms:W3CDTF">2021-06-17T21:56:00Z</dcterms:modified>
</cp:coreProperties>
</file>