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237"/>
        <w:tblW w:w="13590" w:type="dxa"/>
        <w:tblLayout w:type="fixed"/>
        <w:tblLook w:val="04A0" w:firstRow="1" w:lastRow="0" w:firstColumn="1" w:lastColumn="0" w:noHBand="0" w:noVBand="1"/>
      </w:tblPr>
      <w:tblGrid>
        <w:gridCol w:w="2109"/>
        <w:gridCol w:w="2031"/>
        <w:gridCol w:w="1530"/>
        <w:gridCol w:w="1440"/>
        <w:gridCol w:w="1350"/>
        <w:gridCol w:w="5130"/>
      </w:tblGrid>
      <w:tr w:rsidR="003909BA" w14:paraId="3BBE2A88" w14:textId="77777777" w:rsidTr="001764F0">
        <w:tc>
          <w:tcPr>
            <w:tcW w:w="2109" w:type="dxa"/>
          </w:tcPr>
          <w:p w14:paraId="32A74E6C" w14:textId="460DCCF7" w:rsidR="003909BA" w:rsidRPr="00230987" w:rsidRDefault="00230987" w:rsidP="001764F0">
            <w:pPr>
              <w:jc w:val="center"/>
              <w:rPr>
                <w:b/>
                <w:bCs/>
              </w:rPr>
            </w:pPr>
            <w:r w:rsidRPr="00230987">
              <w:rPr>
                <w:b/>
                <w:bCs/>
              </w:rPr>
              <w:t>UG Provision</w:t>
            </w:r>
          </w:p>
        </w:tc>
        <w:tc>
          <w:tcPr>
            <w:tcW w:w="2031" w:type="dxa"/>
          </w:tcPr>
          <w:p w14:paraId="53CD29F1" w14:textId="2F14239F" w:rsidR="003909BA" w:rsidRPr="00230987" w:rsidRDefault="003909BA" w:rsidP="001764F0">
            <w:pPr>
              <w:jc w:val="center"/>
              <w:rPr>
                <w:b/>
                <w:bCs/>
              </w:rPr>
            </w:pPr>
            <w:r w:rsidRPr="00230987">
              <w:rPr>
                <w:b/>
                <w:bCs/>
              </w:rPr>
              <w:t>Cost Item</w:t>
            </w:r>
          </w:p>
        </w:tc>
        <w:tc>
          <w:tcPr>
            <w:tcW w:w="1530" w:type="dxa"/>
          </w:tcPr>
          <w:p w14:paraId="00CED773" w14:textId="0F95BA03" w:rsidR="003909BA" w:rsidRPr="00230987" w:rsidRDefault="003909BA" w:rsidP="001764F0">
            <w:pPr>
              <w:jc w:val="center"/>
              <w:rPr>
                <w:b/>
                <w:bCs/>
              </w:rPr>
            </w:pPr>
            <w:r w:rsidRPr="00230987">
              <w:rPr>
                <w:b/>
                <w:bCs/>
              </w:rPr>
              <w:t>Estimated Amount</w:t>
            </w:r>
          </w:p>
        </w:tc>
        <w:tc>
          <w:tcPr>
            <w:tcW w:w="1440" w:type="dxa"/>
          </w:tcPr>
          <w:p w14:paraId="1A2C028A" w14:textId="24003AD1" w:rsidR="003909BA" w:rsidRPr="00230987" w:rsidRDefault="003909BA" w:rsidP="001764F0">
            <w:pPr>
              <w:jc w:val="center"/>
              <w:rPr>
                <w:b/>
                <w:bCs/>
              </w:rPr>
            </w:pPr>
            <w:r w:rsidRPr="00230987">
              <w:rPr>
                <w:b/>
                <w:bCs/>
              </w:rPr>
              <w:t>Necessary/ Reasonable</w:t>
            </w:r>
          </w:p>
        </w:tc>
        <w:tc>
          <w:tcPr>
            <w:tcW w:w="1350" w:type="dxa"/>
          </w:tcPr>
          <w:p w14:paraId="2292848B" w14:textId="77777777" w:rsidR="003909BA" w:rsidRPr="00230987" w:rsidRDefault="003909BA" w:rsidP="001764F0">
            <w:pPr>
              <w:jc w:val="center"/>
              <w:rPr>
                <w:b/>
                <w:bCs/>
              </w:rPr>
            </w:pPr>
            <w:r w:rsidRPr="00230987">
              <w:rPr>
                <w:b/>
                <w:bCs/>
              </w:rPr>
              <w:t>%</w:t>
            </w:r>
          </w:p>
          <w:p w14:paraId="256A1E9C" w14:textId="37F73AAB" w:rsidR="003909BA" w:rsidRPr="00230987" w:rsidRDefault="003909BA" w:rsidP="001764F0">
            <w:pPr>
              <w:jc w:val="center"/>
              <w:rPr>
                <w:b/>
                <w:bCs/>
              </w:rPr>
            </w:pPr>
            <w:r w:rsidRPr="00230987">
              <w:rPr>
                <w:b/>
                <w:bCs/>
              </w:rPr>
              <w:t>Allocable</w:t>
            </w:r>
          </w:p>
        </w:tc>
        <w:tc>
          <w:tcPr>
            <w:tcW w:w="5130" w:type="dxa"/>
          </w:tcPr>
          <w:p w14:paraId="732507AB" w14:textId="42435FC7" w:rsidR="003909BA" w:rsidRPr="00230987" w:rsidRDefault="003909BA" w:rsidP="001764F0">
            <w:pPr>
              <w:tabs>
                <w:tab w:val="left" w:pos="528"/>
              </w:tabs>
              <w:jc w:val="center"/>
              <w:rPr>
                <w:b/>
                <w:bCs/>
              </w:rPr>
            </w:pPr>
            <w:r w:rsidRPr="00230987">
              <w:rPr>
                <w:b/>
                <w:bCs/>
              </w:rPr>
              <w:t>Required Documentation</w:t>
            </w:r>
          </w:p>
        </w:tc>
      </w:tr>
      <w:tr w:rsidR="003909BA" w14:paraId="5BF63E66" w14:textId="77777777" w:rsidTr="001764F0">
        <w:tc>
          <w:tcPr>
            <w:tcW w:w="2109" w:type="dxa"/>
          </w:tcPr>
          <w:p w14:paraId="7ABE6133" w14:textId="5F485190" w:rsidR="003909BA" w:rsidRPr="00594E37" w:rsidRDefault="00404628" w:rsidP="001764F0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6" w:history="1">
              <w:r w:rsidRPr="00594E37">
                <w:rPr>
                  <w:rStyle w:val="Hyperlink"/>
                  <w:rFonts w:ascii="Arial" w:hAnsi="Arial" w:cs="Arial"/>
                  <w:sz w:val="20"/>
                  <w:szCs w:val="20"/>
                </w:rPr>
                <w:t>200.430</w:t>
              </w:r>
            </w:hyperlink>
          </w:p>
        </w:tc>
        <w:tc>
          <w:tcPr>
            <w:tcW w:w="2031" w:type="dxa"/>
          </w:tcPr>
          <w:p w14:paraId="097280FF" w14:textId="6CBBC696" w:rsidR="003909BA" w:rsidRPr="0097719B" w:rsidRDefault="003909BA" w:rsidP="001764F0">
            <w:pPr>
              <w:rPr>
                <w:sz w:val="20"/>
                <w:szCs w:val="20"/>
              </w:rPr>
            </w:pPr>
            <w:r w:rsidRPr="0097719B">
              <w:rPr>
                <w:sz w:val="20"/>
                <w:szCs w:val="20"/>
              </w:rPr>
              <w:t>Compensation</w:t>
            </w:r>
          </w:p>
        </w:tc>
        <w:tc>
          <w:tcPr>
            <w:tcW w:w="1530" w:type="dxa"/>
          </w:tcPr>
          <w:p w14:paraId="08CB7C19" w14:textId="77777777" w:rsidR="003909BA" w:rsidRDefault="003909BA" w:rsidP="001764F0"/>
        </w:tc>
        <w:tc>
          <w:tcPr>
            <w:tcW w:w="1440" w:type="dxa"/>
          </w:tcPr>
          <w:p w14:paraId="01648D2C" w14:textId="77777777" w:rsidR="003909BA" w:rsidRDefault="003909BA" w:rsidP="001764F0"/>
        </w:tc>
        <w:tc>
          <w:tcPr>
            <w:tcW w:w="1350" w:type="dxa"/>
          </w:tcPr>
          <w:p w14:paraId="09888C68" w14:textId="77777777" w:rsidR="003909BA" w:rsidRDefault="003909BA" w:rsidP="001764F0"/>
        </w:tc>
        <w:tc>
          <w:tcPr>
            <w:tcW w:w="5130" w:type="dxa"/>
          </w:tcPr>
          <w:p w14:paraId="567F26D5" w14:textId="77777777" w:rsidR="003909BA" w:rsidRDefault="003909BA" w:rsidP="001764F0"/>
        </w:tc>
      </w:tr>
      <w:tr w:rsidR="003909BA" w14:paraId="2DA4E024" w14:textId="77777777" w:rsidTr="001764F0">
        <w:tc>
          <w:tcPr>
            <w:tcW w:w="2109" w:type="dxa"/>
          </w:tcPr>
          <w:p w14:paraId="6BE8DF15" w14:textId="11EA217A" w:rsidR="003909BA" w:rsidRPr="00594E37" w:rsidRDefault="00404628" w:rsidP="001764F0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7" w:history="1">
              <w:r w:rsidRPr="00594E37">
                <w:rPr>
                  <w:rStyle w:val="Hyperlink"/>
                  <w:rFonts w:ascii="Arial" w:hAnsi="Arial" w:cs="Arial"/>
                  <w:sz w:val="20"/>
                  <w:szCs w:val="20"/>
                </w:rPr>
                <w:t>200.431</w:t>
              </w:r>
            </w:hyperlink>
          </w:p>
        </w:tc>
        <w:tc>
          <w:tcPr>
            <w:tcW w:w="2031" w:type="dxa"/>
          </w:tcPr>
          <w:p w14:paraId="10C4B363" w14:textId="44E04CA3" w:rsidR="003909BA" w:rsidRPr="0097719B" w:rsidRDefault="003909BA" w:rsidP="001764F0">
            <w:pPr>
              <w:rPr>
                <w:sz w:val="20"/>
                <w:szCs w:val="20"/>
              </w:rPr>
            </w:pPr>
            <w:r w:rsidRPr="0097719B">
              <w:rPr>
                <w:sz w:val="20"/>
                <w:szCs w:val="20"/>
              </w:rPr>
              <w:t>Fringe Benefits</w:t>
            </w:r>
          </w:p>
        </w:tc>
        <w:tc>
          <w:tcPr>
            <w:tcW w:w="1530" w:type="dxa"/>
          </w:tcPr>
          <w:p w14:paraId="652298C1" w14:textId="77777777" w:rsidR="003909BA" w:rsidRDefault="003909BA" w:rsidP="001764F0"/>
        </w:tc>
        <w:tc>
          <w:tcPr>
            <w:tcW w:w="1440" w:type="dxa"/>
          </w:tcPr>
          <w:p w14:paraId="7B4B225D" w14:textId="77777777" w:rsidR="003909BA" w:rsidRDefault="003909BA" w:rsidP="001764F0"/>
        </w:tc>
        <w:tc>
          <w:tcPr>
            <w:tcW w:w="1350" w:type="dxa"/>
          </w:tcPr>
          <w:p w14:paraId="0C724C77" w14:textId="77777777" w:rsidR="003909BA" w:rsidRDefault="003909BA" w:rsidP="001764F0"/>
        </w:tc>
        <w:tc>
          <w:tcPr>
            <w:tcW w:w="5130" w:type="dxa"/>
          </w:tcPr>
          <w:p w14:paraId="17EC1C51" w14:textId="77777777" w:rsidR="003909BA" w:rsidRDefault="003909BA" w:rsidP="001764F0"/>
        </w:tc>
      </w:tr>
      <w:tr w:rsidR="003909BA" w14:paraId="7EB4BD71" w14:textId="77777777" w:rsidTr="001764F0">
        <w:tc>
          <w:tcPr>
            <w:tcW w:w="2109" w:type="dxa"/>
          </w:tcPr>
          <w:p w14:paraId="348A2276" w14:textId="3A799146" w:rsidR="003909BA" w:rsidRPr="00594E37" w:rsidRDefault="00160396" w:rsidP="001764F0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" w:history="1">
              <w:r w:rsidRPr="00594E37">
                <w:rPr>
                  <w:rStyle w:val="Hyperlink"/>
                  <w:rFonts w:ascii="Arial" w:hAnsi="Arial" w:cs="Arial"/>
                  <w:sz w:val="20"/>
                  <w:szCs w:val="20"/>
                </w:rPr>
                <w:t>200.475</w:t>
              </w:r>
            </w:hyperlink>
          </w:p>
        </w:tc>
        <w:tc>
          <w:tcPr>
            <w:tcW w:w="2031" w:type="dxa"/>
          </w:tcPr>
          <w:p w14:paraId="2937970D" w14:textId="01426314" w:rsidR="00594E37" w:rsidRPr="0097719B" w:rsidRDefault="00594E37" w:rsidP="001764F0">
            <w:pPr>
              <w:rPr>
                <w:sz w:val="20"/>
                <w:szCs w:val="20"/>
              </w:rPr>
            </w:pPr>
            <w:r w:rsidRPr="0097719B">
              <w:rPr>
                <w:sz w:val="20"/>
                <w:szCs w:val="20"/>
              </w:rPr>
              <w:t>Travel</w:t>
            </w:r>
          </w:p>
        </w:tc>
        <w:tc>
          <w:tcPr>
            <w:tcW w:w="1530" w:type="dxa"/>
          </w:tcPr>
          <w:p w14:paraId="54AA9C9F" w14:textId="77777777" w:rsidR="003909BA" w:rsidRDefault="003909BA" w:rsidP="001764F0"/>
        </w:tc>
        <w:tc>
          <w:tcPr>
            <w:tcW w:w="1440" w:type="dxa"/>
          </w:tcPr>
          <w:p w14:paraId="304763DE" w14:textId="77777777" w:rsidR="003909BA" w:rsidRDefault="003909BA" w:rsidP="001764F0"/>
        </w:tc>
        <w:tc>
          <w:tcPr>
            <w:tcW w:w="1350" w:type="dxa"/>
          </w:tcPr>
          <w:p w14:paraId="3DCF08E6" w14:textId="77777777" w:rsidR="003909BA" w:rsidRDefault="003909BA" w:rsidP="001764F0"/>
        </w:tc>
        <w:tc>
          <w:tcPr>
            <w:tcW w:w="5130" w:type="dxa"/>
          </w:tcPr>
          <w:p w14:paraId="4A9543CF" w14:textId="77777777" w:rsidR="003909BA" w:rsidRDefault="003909BA" w:rsidP="001764F0"/>
        </w:tc>
      </w:tr>
      <w:tr w:rsidR="003909BA" w14:paraId="2A51D067" w14:textId="77777777" w:rsidTr="001764F0">
        <w:tc>
          <w:tcPr>
            <w:tcW w:w="2109" w:type="dxa"/>
          </w:tcPr>
          <w:p w14:paraId="7C050B50" w14:textId="1FC07C1A" w:rsidR="003909BA" w:rsidRPr="00594E37" w:rsidRDefault="00160396" w:rsidP="001764F0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9" w:history="1">
              <w:r w:rsidRPr="00594E37">
                <w:rPr>
                  <w:rStyle w:val="Hyperlink"/>
                  <w:rFonts w:ascii="Arial" w:hAnsi="Arial" w:cs="Arial"/>
                  <w:sz w:val="20"/>
                  <w:szCs w:val="20"/>
                </w:rPr>
                <w:t>200.439</w:t>
              </w:r>
            </w:hyperlink>
          </w:p>
        </w:tc>
        <w:tc>
          <w:tcPr>
            <w:tcW w:w="2031" w:type="dxa"/>
          </w:tcPr>
          <w:p w14:paraId="76D49780" w14:textId="401B98F7" w:rsidR="003909BA" w:rsidRPr="0097719B" w:rsidRDefault="00594E37" w:rsidP="001764F0">
            <w:pPr>
              <w:rPr>
                <w:sz w:val="20"/>
                <w:szCs w:val="20"/>
              </w:rPr>
            </w:pPr>
            <w:r w:rsidRPr="0097719B">
              <w:rPr>
                <w:sz w:val="20"/>
                <w:szCs w:val="20"/>
              </w:rPr>
              <w:t>Equipment &amp; Other Capital</w:t>
            </w:r>
          </w:p>
        </w:tc>
        <w:tc>
          <w:tcPr>
            <w:tcW w:w="1530" w:type="dxa"/>
          </w:tcPr>
          <w:p w14:paraId="54C508A7" w14:textId="77777777" w:rsidR="003909BA" w:rsidRDefault="003909BA" w:rsidP="001764F0"/>
        </w:tc>
        <w:tc>
          <w:tcPr>
            <w:tcW w:w="1440" w:type="dxa"/>
          </w:tcPr>
          <w:p w14:paraId="25E9D1F3" w14:textId="77777777" w:rsidR="003909BA" w:rsidRDefault="003909BA" w:rsidP="001764F0"/>
        </w:tc>
        <w:tc>
          <w:tcPr>
            <w:tcW w:w="1350" w:type="dxa"/>
          </w:tcPr>
          <w:p w14:paraId="1628249B" w14:textId="77777777" w:rsidR="003909BA" w:rsidRDefault="003909BA" w:rsidP="001764F0"/>
        </w:tc>
        <w:tc>
          <w:tcPr>
            <w:tcW w:w="5130" w:type="dxa"/>
          </w:tcPr>
          <w:p w14:paraId="1D11132C" w14:textId="77777777" w:rsidR="003909BA" w:rsidRDefault="003909BA" w:rsidP="001764F0"/>
        </w:tc>
      </w:tr>
      <w:tr w:rsidR="003909BA" w14:paraId="697A8DE6" w14:textId="77777777" w:rsidTr="001764F0">
        <w:tc>
          <w:tcPr>
            <w:tcW w:w="2109" w:type="dxa"/>
          </w:tcPr>
          <w:p w14:paraId="1161E886" w14:textId="78FD5D5E" w:rsidR="003909BA" w:rsidRPr="00594E37" w:rsidRDefault="00160396" w:rsidP="001764F0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0" w:history="1">
              <w:r w:rsidRPr="00594E37">
                <w:rPr>
                  <w:rStyle w:val="Hyperlink"/>
                  <w:rFonts w:ascii="Arial" w:hAnsi="Arial" w:cs="Arial"/>
                  <w:sz w:val="20"/>
                  <w:szCs w:val="20"/>
                </w:rPr>
                <w:t>200.453</w:t>
              </w:r>
            </w:hyperlink>
          </w:p>
        </w:tc>
        <w:tc>
          <w:tcPr>
            <w:tcW w:w="2031" w:type="dxa"/>
          </w:tcPr>
          <w:p w14:paraId="1FB4DA62" w14:textId="61140F33" w:rsidR="003909BA" w:rsidRPr="0097719B" w:rsidRDefault="00594E37" w:rsidP="001764F0">
            <w:pPr>
              <w:rPr>
                <w:sz w:val="20"/>
                <w:szCs w:val="20"/>
              </w:rPr>
            </w:pPr>
            <w:r w:rsidRPr="0097719B">
              <w:rPr>
                <w:sz w:val="20"/>
                <w:szCs w:val="20"/>
              </w:rPr>
              <w:t>Materials &amp; Supplies</w:t>
            </w:r>
          </w:p>
        </w:tc>
        <w:tc>
          <w:tcPr>
            <w:tcW w:w="1530" w:type="dxa"/>
          </w:tcPr>
          <w:p w14:paraId="782AA8B5" w14:textId="77777777" w:rsidR="003909BA" w:rsidRDefault="003909BA" w:rsidP="001764F0"/>
        </w:tc>
        <w:tc>
          <w:tcPr>
            <w:tcW w:w="1440" w:type="dxa"/>
          </w:tcPr>
          <w:p w14:paraId="1797100F" w14:textId="77777777" w:rsidR="003909BA" w:rsidRDefault="003909BA" w:rsidP="001764F0"/>
        </w:tc>
        <w:tc>
          <w:tcPr>
            <w:tcW w:w="1350" w:type="dxa"/>
          </w:tcPr>
          <w:p w14:paraId="194FBCEF" w14:textId="77777777" w:rsidR="003909BA" w:rsidRDefault="003909BA" w:rsidP="001764F0"/>
        </w:tc>
        <w:tc>
          <w:tcPr>
            <w:tcW w:w="5130" w:type="dxa"/>
          </w:tcPr>
          <w:p w14:paraId="230FDA1E" w14:textId="77777777" w:rsidR="003909BA" w:rsidRDefault="003909BA" w:rsidP="001764F0"/>
        </w:tc>
      </w:tr>
      <w:tr w:rsidR="003909BA" w14:paraId="339ECB38" w14:textId="77777777" w:rsidTr="001764F0">
        <w:tc>
          <w:tcPr>
            <w:tcW w:w="2109" w:type="dxa"/>
          </w:tcPr>
          <w:p w14:paraId="43FF015C" w14:textId="291AA52F" w:rsidR="003909BA" w:rsidRPr="00594E37" w:rsidRDefault="00160396" w:rsidP="001764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4E37">
              <w:rPr>
                <w:rFonts w:ascii="Arial" w:hAnsi="Arial" w:cs="Arial"/>
                <w:color w:val="000000"/>
                <w:sz w:val="20"/>
                <w:szCs w:val="20"/>
              </w:rPr>
              <w:t>200.318 &amp; 200.92</w:t>
            </w:r>
          </w:p>
        </w:tc>
        <w:tc>
          <w:tcPr>
            <w:tcW w:w="2031" w:type="dxa"/>
          </w:tcPr>
          <w:p w14:paraId="1DA29509" w14:textId="5088F8BE" w:rsidR="003909BA" w:rsidRPr="0097719B" w:rsidRDefault="00594E37" w:rsidP="001764F0">
            <w:pPr>
              <w:rPr>
                <w:sz w:val="20"/>
                <w:szCs w:val="20"/>
              </w:rPr>
            </w:pPr>
            <w:r w:rsidRPr="0097719B">
              <w:rPr>
                <w:sz w:val="20"/>
                <w:szCs w:val="20"/>
              </w:rPr>
              <w:t>Contractual Services &amp; Subawards</w:t>
            </w:r>
          </w:p>
        </w:tc>
        <w:tc>
          <w:tcPr>
            <w:tcW w:w="1530" w:type="dxa"/>
          </w:tcPr>
          <w:p w14:paraId="013C4401" w14:textId="77777777" w:rsidR="003909BA" w:rsidRDefault="003909BA" w:rsidP="001764F0"/>
        </w:tc>
        <w:tc>
          <w:tcPr>
            <w:tcW w:w="1440" w:type="dxa"/>
          </w:tcPr>
          <w:p w14:paraId="000983A7" w14:textId="77777777" w:rsidR="003909BA" w:rsidRDefault="003909BA" w:rsidP="001764F0"/>
        </w:tc>
        <w:tc>
          <w:tcPr>
            <w:tcW w:w="1350" w:type="dxa"/>
          </w:tcPr>
          <w:p w14:paraId="080C545F" w14:textId="77777777" w:rsidR="003909BA" w:rsidRDefault="003909BA" w:rsidP="001764F0"/>
        </w:tc>
        <w:tc>
          <w:tcPr>
            <w:tcW w:w="5130" w:type="dxa"/>
          </w:tcPr>
          <w:p w14:paraId="5C0D700D" w14:textId="77777777" w:rsidR="003909BA" w:rsidRDefault="003909BA" w:rsidP="001764F0"/>
        </w:tc>
      </w:tr>
      <w:tr w:rsidR="003909BA" w14:paraId="465792E3" w14:textId="77777777" w:rsidTr="001764F0">
        <w:tc>
          <w:tcPr>
            <w:tcW w:w="2109" w:type="dxa"/>
          </w:tcPr>
          <w:p w14:paraId="5052B885" w14:textId="65C45EDA" w:rsidR="003909BA" w:rsidRPr="00594E37" w:rsidRDefault="000E33E3" w:rsidP="001764F0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1" w:history="1">
              <w:r w:rsidRPr="00594E37">
                <w:rPr>
                  <w:rStyle w:val="Hyperlink"/>
                  <w:rFonts w:ascii="Arial" w:hAnsi="Arial" w:cs="Arial"/>
                  <w:sz w:val="20"/>
                  <w:szCs w:val="20"/>
                </w:rPr>
                <w:t>200.459</w:t>
              </w:r>
            </w:hyperlink>
          </w:p>
        </w:tc>
        <w:tc>
          <w:tcPr>
            <w:tcW w:w="2031" w:type="dxa"/>
          </w:tcPr>
          <w:p w14:paraId="6DE6F829" w14:textId="1C63259D" w:rsidR="003909BA" w:rsidRPr="0097719B" w:rsidRDefault="00594E37" w:rsidP="001764F0">
            <w:pPr>
              <w:rPr>
                <w:sz w:val="20"/>
                <w:szCs w:val="20"/>
              </w:rPr>
            </w:pPr>
            <w:r w:rsidRPr="0097719B">
              <w:rPr>
                <w:sz w:val="20"/>
                <w:szCs w:val="20"/>
              </w:rPr>
              <w:t>Consultants / Profess</w:t>
            </w:r>
            <w:r w:rsidR="0097719B" w:rsidRPr="0097719B">
              <w:rPr>
                <w:sz w:val="20"/>
                <w:szCs w:val="20"/>
              </w:rPr>
              <w:t>i</w:t>
            </w:r>
            <w:r w:rsidRPr="0097719B">
              <w:rPr>
                <w:sz w:val="20"/>
                <w:szCs w:val="20"/>
              </w:rPr>
              <w:t>onal Services</w:t>
            </w:r>
          </w:p>
        </w:tc>
        <w:tc>
          <w:tcPr>
            <w:tcW w:w="1530" w:type="dxa"/>
          </w:tcPr>
          <w:p w14:paraId="50CB2E69" w14:textId="77777777" w:rsidR="003909BA" w:rsidRDefault="003909BA" w:rsidP="001764F0"/>
        </w:tc>
        <w:tc>
          <w:tcPr>
            <w:tcW w:w="1440" w:type="dxa"/>
          </w:tcPr>
          <w:p w14:paraId="1DC0532E" w14:textId="77777777" w:rsidR="003909BA" w:rsidRDefault="003909BA" w:rsidP="001764F0"/>
        </w:tc>
        <w:tc>
          <w:tcPr>
            <w:tcW w:w="1350" w:type="dxa"/>
          </w:tcPr>
          <w:p w14:paraId="7643C7CD" w14:textId="77777777" w:rsidR="003909BA" w:rsidRDefault="003909BA" w:rsidP="001764F0"/>
        </w:tc>
        <w:tc>
          <w:tcPr>
            <w:tcW w:w="5130" w:type="dxa"/>
          </w:tcPr>
          <w:p w14:paraId="2154F73D" w14:textId="77777777" w:rsidR="003909BA" w:rsidRDefault="003909BA" w:rsidP="001764F0"/>
        </w:tc>
      </w:tr>
      <w:tr w:rsidR="000E33E3" w14:paraId="69D4993F" w14:textId="77777777" w:rsidTr="001764F0">
        <w:tc>
          <w:tcPr>
            <w:tcW w:w="2109" w:type="dxa"/>
          </w:tcPr>
          <w:p w14:paraId="6A5C4E84" w14:textId="2029D328" w:rsidR="000E33E3" w:rsidRPr="00594E37" w:rsidRDefault="000E33E3" w:rsidP="001764F0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2" w:history="1">
              <w:r w:rsidRPr="00594E37">
                <w:rPr>
                  <w:rStyle w:val="Hyperlink"/>
                  <w:rFonts w:ascii="Arial" w:hAnsi="Arial" w:cs="Arial"/>
                  <w:sz w:val="20"/>
                  <w:szCs w:val="20"/>
                </w:rPr>
                <w:t>200.465</w:t>
              </w:r>
            </w:hyperlink>
          </w:p>
        </w:tc>
        <w:tc>
          <w:tcPr>
            <w:tcW w:w="2031" w:type="dxa"/>
          </w:tcPr>
          <w:p w14:paraId="723D1623" w14:textId="56CFA723" w:rsidR="000E33E3" w:rsidRPr="0097719B" w:rsidRDefault="00126B54" w:rsidP="001764F0">
            <w:pPr>
              <w:rPr>
                <w:sz w:val="20"/>
                <w:szCs w:val="20"/>
              </w:rPr>
            </w:pPr>
            <w:r w:rsidRPr="0097719B">
              <w:rPr>
                <w:sz w:val="20"/>
                <w:szCs w:val="20"/>
              </w:rPr>
              <w:t>Occupancy (Rent &amp; Utilities)</w:t>
            </w:r>
          </w:p>
        </w:tc>
        <w:tc>
          <w:tcPr>
            <w:tcW w:w="1530" w:type="dxa"/>
          </w:tcPr>
          <w:p w14:paraId="2C87240B" w14:textId="77777777" w:rsidR="000E33E3" w:rsidRDefault="000E33E3" w:rsidP="001764F0"/>
        </w:tc>
        <w:tc>
          <w:tcPr>
            <w:tcW w:w="1440" w:type="dxa"/>
          </w:tcPr>
          <w:p w14:paraId="577E800E" w14:textId="77777777" w:rsidR="000E33E3" w:rsidRDefault="000E33E3" w:rsidP="001764F0"/>
        </w:tc>
        <w:tc>
          <w:tcPr>
            <w:tcW w:w="1350" w:type="dxa"/>
          </w:tcPr>
          <w:p w14:paraId="2B036C8F" w14:textId="77777777" w:rsidR="000E33E3" w:rsidRDefault="000E33E3" w:rsidP="001764F0"/>
        </w:tc>
        <w:tc>
          <w:tcPr>
            <w:tcW w:w="5130" w:type="dxa"/>
          </w:tcPr>
          <w:p w14:paraId="3D686AC3" w14:textId="77777777" w:rsidR="000E33E3" w:rsidRDefault="000E33E3" w:rsidP="001764F0"/>
        </w:tc>
      </w:tr>
      <w:tr w:rsidR="000E33E3" w14:paraId="2B910015" w14:textId="77777777" w:rsidTr="001764F0">
        <w:tc>
          <w:tcPr>
            <w:tcW w:w="2109" w:type="dxa"/>
          </w:tcPr>
          <w:p w14:paraId="78D79872" w14:textId="77777777" w:rsidR="00BB5602" w:rsidRPr="00594E37" w:rsidRDefault="00BB5602" w:rsidP="001764F0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3" w:history="1">
              <w:r w:rsidRPr="00594E37">
                <w:rPr>
                  <w:rStyle w:val="Hyperlink"/>
                  <w:rFonts w:ascii="Arial" w:hAnsi="Arial" w:cs="Arial"/>
                  <w:sz w:val="20"/>
                  <w:szCs w:val="20"/>
                </w:rPr>
                <w:t>200.471</w:t>
              </w:r>
            </w:hyperlink>
          </w:p>
          <w:p w14:paraId="1C0800FF" w14:textId="77777777" w:rsidR="000E33E3" w:rsidRPr="00594E37" w:rsidRDefault="000E33E3" w:rsidP="001764F0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031" w:type="dxa"/>
          </w:tcPr>
          <w:p w14:paraId="7A1AFAD1" w14:textId="78410FEC" w:rsidR="000E33E3" w:rsidRPr="0097719B" w:rsidRDefault="00126B54" w:rsidP="001764F0">
            <w:pPr>
              <w:rPr>
                <w:sz w:val="20"/>
                <w:szCs w:val="20"/>
              </w:rPr>
            </w:pPr>
            <w:r w:rsidRPr="0097719B">
              <w:rPr>
                <w:sz w:val="20"/>
                <w:szCs w:val="20"/>
              </w:rPr>
              <w:t>Telecommunications</w:t>
            </w:r>
          </w:p>
        </w:tc>
        <w:tc>
          <w:tcPr>
            <w:tcW w:w="1530" w:type="dxa"/>
          </w:tcPr>
          <w:p w14:paraId="78152F5D" w14:textId="77777777" w:rsidR="000E33E3" w:rsidRDefault="000E33E3" w:rsidP="001764F0"/>
        </w:tc>
        <w:tc>
          <w:tcPr>
            <w:tcW w:w="1440" w:type="dxa"/>
          </w:tcPr>
          <w:p w14:paraId="5FC70456" w14:textId="77777777" w:rsidR="000E33E3" w:rsidRDefault="000E33E3" w:rsidP="001764F0"/>
        </w:tc>
        <w:tc>
          <w:tcPr>
            <w:tcW w:w="1350" w:type="dxa"/>
          </w:tcPr>
          <w:p w14:paraId="70FE3354" w14:textId="77777777" w:rsidR="000E33E3" w:rsidRDefault="000E33E3" w:rsidP="001764F0"/>
        </w:tc>
        <w:tc>
          <w:tcPr>
            <w:tcW w:w="5130" w:type="dxa"/>
          </w:tcPr>
          <w:p w14:paraId="6304006B" w14:textId="77777777" w:rsidR="000E33E3" w:rsidRDefault="000E33E3" w:rsidP="001764F0"/>
        </w:tc>
      </w:tr>
      <w:tr w:rsidR="000E33E3" w14:paraId="1A6A9190" w14:textId="77777777" w:rsidTr="001764F0">
        <w:tc>
          <w:tcPr>
            <w:tcW w:w="2109" w:type="dxa"/>
          </w:tcPr>
          <w:p w14:paraId="2550496D" w14:textId="77777777" w:rsidR="00BB5602" w:rsidRPr="00594E37" w:rsidRDefault="00BB5602" w:rsidP="001764F0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4" w:history="1">
              <w:r w:rsidRPr="00594E37">
                <w:rPr>
                  <w:rStyle w:val="Hyperlink"/>
                  <w:rFonts w:ascii="Arial" w:hAnsi="Arial" w:cs="Arial"/>
                  <w:sz w:val="20"/>
                  <w:szCs w:val="20"/>
                </w:rPr>
                <w:t>200.473</w:t>
              </w:r>
            </w:hyperlink>
          </w:p>
          <w:p w14:paraId="74BCFF17" w14:textId="77777777" w:rsidR="000E33E3" w:rsidRPr="00594E37" w:rsidRDefault="000E33E3" w:rsidP="001764F0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031" w:type="dxa"/>
          </w:tcPr>
          <w:p w14:paraId="119310EA" w14:textId="01E9D272" w:rsidR="000E33E3" w:rsidRPr="0097719B" w:rsidRDefault="00126B54" w:rsidP="001764F0">
            <w:pPr>
              <w:rPr>
                <w:sz w:val="20"/>
                <w:szCs w:val="20"/>
              </w:rPr>
            </w:pPr>
            <w:r w:rsidRPr="0097719B">
              <w:rPr>
                <w:sz w:val="20"/>
                <w:szCs w:val="20"/>
              </w:rPr>
              <w:t>Training &amp; Education</w:t>
            </w:r>
          </w:p>
        </w:tc>
        <w:tc>
          <w:tcPr>
            <w:tcW w:w="1530" w:type="dxa"/>
          </w:tcPr>
          <w:p w14:paraId="51FCA8B7" w14:textId="77777777" w:rsidR="000E33E3" w:rsidRDefault="000E33E3" w:rsidP="001764F0"/>
        </w:tc>
        <w:tc>
          <w:tcPr>
            <w:tcW w:w="1440" w:type="dxa"/>
          </w:tcPr>
          <w:p w14:paraId="64E147CC" w14:textId="77777777" w:rsidR="000E33E3" w:rsidRDefault="000E33E3" w:rsidP="001764F0"/>
        </w:tc>
        <w:tc>
          <w:tcPr>
            <w:tcW w:w="1350" w:type="dxa"/>
          </w:tcPr>
          <w:p w14:paraId="318C5CB7" w14:textId="77777777" w:rsidR="000E33E3" w:rsidRDefault="000E33E3" w:rsidP="001764F0"/>
        </w:tc>
        <w:tc>
          <w:tcPr>
            <w:tcW w:w="5130" w:type="dxa"/>
          </w:tcPr>
          <w:p w14:paraId="70CD98C4" w14:textId="77777777" w:rsidR="000E33E3" w:rsidRDefault="000E33E3" w:rsidP="001764F0"/>
        </w:tc>
      </w:tr>
      <w:tr w:rsidR="000E33E3" w14:paraId="61B8A0F5" w14:textId="77777777" w:rsidTr="001764F0">
        <w:tc>
          <w:tcPr>
            <w:tcW w:w="2109" w:type="dxa"/>
          </w:tcPr>
          <w:p w14:paraId="7FB1DB5E" w14:textId="77777777" w:rsidR="00BB5602" w:rsidRPr="00594E37" w:rsidRDefault="00BB5602" w:rsidP="001764F0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5" w:history="1">
              <w:r w:rsidRPr="00594E37">
                <w:rPr>
                  <w:rStyle w:val="Hyperlink"/>
                  <w:rFonts w:ascii="Arial" w:hAnsi="Arial" w:cs="Arial"/>
                  <w:sz w:val="20"/>
                  <w:szCs w:val="20"/>
                </w:rPr>
                <w:t>200.413 (c)</w:t>
              </w:r>
            </w:hyperlink>
          </w:p>
          <w:p w14:paraId="055F0C9F" w14:textId="77777777" w:rsidR="000E33E3" w:rsidRPr="00594E37" w:rsidRDefault="000E33E3" w:rsidP="001764F0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031" w:type="dxa"/>
          </w:tcPr>
          <w:p w14:paraId="2A73D1EE" w14:textId="508DDB4D" w:rsidR="000E33E3" w:rsidRPr="0097719B" w:rsidRDefault="00126B54" w:rsidP="001764F0">
            <w:pPr>
              <w:rPr>
                <w:sz w:val="20"/>
                <w:szCs w:val="20"/>
              </w:rPr>
            </w:pPr>
            <w:r w:rsidRPr="0097719B">
              <w:rPr>
                <w:sz w:val="20"/>
                <w:szCs w:val="20"/>
              </w:rPr>
              <w:t>Direct Administrative Costs</w:t>
            </w:r>
          </w:p>
        </w:tc>
        <w:tc>
          <w:tcPr>
            <w:tcW w:w="1530" w:type="dxa"/>
          </w:tcPr>
          <w:p w14:paraId="38496AB5" w14:textId="77777777" w:rsidR="000E33E3" w:rsidRDefault="000E33E3" w:rsidP="001764F0"/>
        </w:tc>
        <w:tc>
          <w:tcPr>
            <w:tcW w:w="1440" w:type="dxa"/>
          </w:tcPr>
          <w:p w14:paraId="738F7406" w14:textId="77777777" w:rsidR="000E33E3" w:rsidRDefault="000E33E3" w:rsidP="001764F0"/>
        </w:tc>
        <w:tc>
          <w:tcPr>
            <w:tcW w:w="1350" w:type="dxa"/>
          </w:tcPr>
          <w:p w14:paraId="6162F4F3" w14:textId="77777777" w:rsidR="000E33E3" w:rsidRDefault="000E33E3" w:rsidP="001764F0"/>
        </w:tc>
        <w:tc>
          <w:tcPr>
            <w:tcW w:w="5130" w:type="dxa"/>
          </w:tcPr>
          <w:p w14:paraId="2C5C0856" w14:textId="77777777" w:rsidR="000E33E3" w:rsidRDefault="000E33E3" w:rsidP="001764F0"/>
        </w:tc>
      </w:tr>
      <w:tr w:rsidR="000E33E3" w14:paraId="14B2FA6D" w14:textId="77777777" w:rsidTr="001764F0">
        <w:tc>
          <w:tcPr>
            <w:tcW w:w="2109" w:type="dxa"/>
          </w:tcPr>
          <w:p w14:paraId="0303CF6B" w14:textId="77777777" w:rsidR="000E33E3" w:rsidRPr="00594E37" w:rsidRDefault="000E33E3" w:rsidP="001764F0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031" w:type="dxa"/>
          </w:tcPr>
          <w:p w14:paraId="4438EB60" w14:textId="65AC8E48" w:rsidR="000E33E3" w:rsidRPr="0097719B" w:rsidRDefault="0097719B" w:rsidP="001764F0">
            <w:pPr>
              <w:rPr>
                <w:sz w:val="20"/>
                <w:szCs w:val="20"/>
              </w:rPr>
            </w:pPr>
            <w:proofErr w:type="spellStart"/>
            <w:r w:rsidRPr="0097719B">
              <w:rPr>
                <w:sz w:val="20"/>
                <w:szCs w:val="20"/>
              </w:rPr>
              <w:t>Add’l</w:t>
            </w:r>
            <w:proofErr w:type="spellEnd"/>
            <w:r w:rsidRPr="0097719B">
              <w:rPr>
                <w:sz w:val="20"/>
                <w:szCs w:val="20"/>
              </w:rPr>
              <w:t xml:space="preserve"> Cost Item</w:t>
            </w:r>
          </w:p>
        </w:tc>
        <w:tc>
          <w:tcPr>
            <w:tcW w:w="1530" w:type="dxa"/>
          </w:tcPr>
          <w:p w14:paraId="56AAA1DC" w14:textId="77777777" w:rsidR="000E33E3" w:rsidRDefault="000E33E3" w:rsidP="001764F0"/>
        </w:tc>
        <w:tc>
          <w:tcPr>
            <w:tcW w:w="1440" w:type="dxa"/>
          </w:tcPr>
          <w:p w14:paraId="6B10598C" w14:textId="77777777" w:rsidR="000E33E3" w:rsidRDefault="000E33E3" w:rsidP="001764F0"/>
        </w:tc>
        <w:tc>
          <w:tcPr>
            <w:tcW w:w="1350" w:type="dxa"/>
          </w:tcPr>
          <w:p w14:paraId="6D484DE3" w14:textId="77777777" w:rsidR="000E33E3" w:rsidRDefault="000E33E3" w:rsidP="001764F0"/>
        </w:tc>
        <w:tc>
          <w:tcPr>
            <w:tcW w:w="5130" w:type="dxa"/>
          </w:tcPr>
          <w:p w14:paraId="09E0EB63" w14:textId="77777777" w:rsidR="000E33E3" w:rsidRDefault="000E33E3" w:rsidP="001764F0"/>
        </w:tc>
      </w:tr>
      <w:tr w:rsidR="00FC1B3A" w14:paraId="08B101DF" w14:textId="77777777" w:rsidTr="001764F0">
        <w:tc>
          <w:tcPr>
            <w:tcW w:w="2109" w:type="dxa"/>
          </w:tcPr>
          <w:p w14:paraId="465B1CC7" w14:textId="77777777" w:rsidR="00FC1B3A" w:rsidRPr="00594E37" w:rsidRDefault="00FC1B3A" w:rsidP="001764F0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031" w:type="dxa"/>
          </w:tcPr>
          <w:p w14:paraId="306BCFD1" w14:textId="48ABB0A1" w:rsidR="00FC1B3A" w:rsidRPr="0097719B" w:rsidRDefault="0097719B" w:rsidP="001764F0">
            <w:pPr>
              <w:rPr>
                <w:sz w:val="20"/>
                <w:szCs w:val="20"/>
              </w:rPr>
            </w:pPr>
            <w:proofErr w:type="spellStart"/>
            <w:r w:rsidRPr="0097719B">
              <w:rPr>
                <w:sz w:val="20"/>
                <w:szCs w:val="20"/>
              </w:rPr>
              <w:t>Add’l</w:t>
            </w:r>
            <w:proofErr w:type="spellEnd"/>
            <w:r w:rsidRPr="0097719B">
              <w:rPr>
                <w:sz w:val="20"/>
                <w:szCs w:val="20"/>
              </w:rPr>
              <w:t xml:space="preserve"> Cost Item</w:t>
            </w:r>
          </w:p>
        </w:tc>
        <w:tc>
          <w:tcPr>
            <w:tcW w:w="1530" w:type="dxa"/>
          </w:tcPr>
          <w:p w14:paraId="33105061" w14:textId="77777777" w:rsidR="00FC1B3A" w:rsidRDefault="00FC1B3A" w:rsidP="001764F0"/>
        </w:tc>
        <w:tc>
          <w:tcPr>
            <w:tcW w:w="1440" w:type="dxa"/>
          </w:tcPr>
          <w:p w14:paraId="13E86FB5" w14:textId="77777777" w:rsidR="00FC1B3A" w:rsidRDefault="00FC1B3A" w:rsidP="001764F0"/>
        </w:tc>
        <w:tc>
          <w:tcPr>
            <w:tcW w:w="1350" w:type="dxa"/>
          </w:tcPr>
          <w:p w14:paraId="57123DC2" w14:textId="77777777" w:rsidR="00FC1B3A" w:rsidRDefault="00FC1B3A" w:rsidP="001764F0"/>
        </w:tc>
        <w:tc>
          <w:tcPr>
            <w:tcW w:w="5130" w:type="dxa"/>
          </w:tcPr>
          <w:p w14:paraId="71D80E7F" w14:textId="77777777" w:rsidR="00FC1B3A" w:rsidRDefault="00FC1B3A" w:rsidP="001764F0"/>
        </w:tc>
      </w:tr>
      <w:tr w:rsidR="00FC1B3A" w14:paraId="652FBD61" w14:textId="77777777" w:rsidTr="001764F0">
        <w:tc>
          <w:tcPr>
            <w:tcW w:w="2109" w:type="dxa"/>
          </w:tcPr>
          <w:p w14:paraId="09A17280" w14:textId="77777777" w:rsidR="00FC1B3A" w:rsidRPr="00594E37" w:rsidRDefault="00FC1B3A" w:rsidP="001764F0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031" w:type="dxa"/>
          </w:tcPr>
          <w:p w14:paraId="11B24B9B" w14:textId="5A1744FC" w:rsidR="00FC1B3A" w:rsidRPr="0097719B" w:rsidRDefault="0097719B" w:rsidP="001764F0">
            <w:pPr>
              <w:rPr>
                <w:sz w:val="20"/>
                <w:szCs w:val="20"/>
              </w:rPr>
            </w:pPr>
            <w:proofErr w:type="spellStart"/>
            <w:r w:rsidRPr="0097719B">
              <w:rPr>
                <w:sz w:val="20"/>
                <w:szCs w:val="20"/>
              </w:rPr>
              <w:t>Add’l</w:t>
            </w:r>
            <w:proofErr w:type="spellEnd"/>
            <w:r w:rsidRPr="0097719B">
              <w:rPr>
                <w:sz w:val="20"/>
                <w:szCs w:val="20"/>
              </w:rPr>
              <w:t xml:space="preserve"> Cost Item</w:t>
            </w:r>
          </w:p>
        </w:tc>
        <w:tc>
          <w:tcPr>
            <w:tcW w:w="1530" w:type="dxa"/>
          </w:tcPr>
          <w:p w14:paraId="000B2825" w14:textId="77777777" w:rsidR="00FC1B3A" w:rsidRDefault="00FC1B3A" w:rsidP="001764F0"/>
        </w:tc>
        <w:tc>
          <w:tcPr>
            <w:tcW w:w="1440" w:type="dxa"/>
          </w:tcPr>
          <w:p w14:paraId="470FB4B6" w14:textId="77777777" w:rsidR="00FC1B3A" w:rsidRDefault="00FC1B3A" w:rsidP="001764F0"/>
        </w:tc>
        <w:tc>
          <w:tcPr>
            <w:tcW w:w="1350" w:type="dxa"/>
          </w:tcPr>
          <w:p w14:paraId="40947679" w14:textId="77777777" w:rsidR="00FC1B3A" w:rsidRDefault="00FC1B3A" w:rsidP="001764F0"/>
        </w:tc>
        <w:tc>
          <w:tcPr>
            <w:tcW w:w="5130" w:type="dxa"/>
          </w:tcPr>
          <w:p w14:paraId="1A91C498" w14:textId="77777777" w:rsidR="00FC1B3A" w:rsidRDefault="00FC1B3A" w:rsidP="001764F0"/>
        </w:tc>
      </w:tr>
      <w:tr w:rsidR="00FC1B3A" w14:paraId="3763AC4E" w14:textId="77777777" w:rsidTr="001764F0">
        <w:tc>
          <w:tcPr>
            <w:tcW w:w="2109" w:type="dxa"/>
          </w:tcPr>
          <w:p w14:paraId="73811AFC" w14:textId="77777777" w:rsidR="00FC1B3A" w:rsidRPr="00594E37" w:rsidRDefault="00FC1B3A" w:rsidP="001764F0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031" w:type="dxa"/>
          </w:tcPr>
          <w:p w14:paraId="3AF53334" w14:textId="19790B0D" w:rsidR="00FC1B3A" w:rsidRPr="0097719B" w:rsidRDefault="0097719B" w:rsidP="001764F0">
            <w:pPr>
              <w:rPr>
                <w:sz w:val="20"/>
                <w:szCs w:val="20"/>
              </w:rPr>
            </w:pPr>
            <w:r w:rsidRPr="0097719B">
              <w:rPr>
                <w:sz w:val="20"/>
                <w:szCs w:val="20"/>
              </w:rPr>
              <w:t>Total Direct Costs</w:t>
            </w:r>
          </w:p>
        </w:tc>
        <w:tc>
          <w:tcPr>
            <w:tcW w:w="1530" w:type="dxa"/>
          </w:tcPr>
          <w:p w14:paraId="6BBA1CE4" w14:textId="77777777" w:rsidR="00FC1B3A" w:rsidRDefault="00FC1B3A" w:rsidP="001764F0"/>
        </w:tc>
        <w:tc>
          <w:tcPr>
            <w:tcW w:w="1440" w:type="dxa"/>
          </w:tcPr>
          <w:p w14:paraId="5DF35036" w14:textId="77777777" w:rsidR="00FC1B3A" w:rsidRDefault="00FC1B3A" w:rsidP="001764F0"/>
        </w:tc>
        <w:tc>
          <w:tcPr>
            <w:tcW w:w="1350" w:type="dxa"/>
          </w:tcPr>
          <w:p w14:paraId="5A590B58" w14:textId="77777777" w:rsidR="00FC1B3A" w:rsidRDefault="00FC1B3A" w:rsidP="001764F0"/>
        </w:tc>
        <w:tc>
          <w:tcPr>
            <w:tcW w:w="5130" w:type="dxa"/>
          </w:tcPr>
          <w:p w14:paraId="2515261B" w14:textId="77777777" w:rsidR="00FC1B3A" w:rsidRDefault="00FC1B3A" w:rsidP="001764F0"/>
        </w:tc>
      </w:tr>
      <w:tr w:rsidR="00FC1B3A" w14:paraId="5D2691F7" w14:textId="77777777" w:rsidTr="001764F0">
        <w:tc>
          <w:tcPr>
            <w:tcW w:w="2109" w:type="dxa"/>
          </w:tcPr>
          <w:p w14:paraId="05D605A8" w14:textId="6439C925" w:rsidR="00FC1B3A" w:rsidRPr="00594E37" w:rsidRDefault="00FC1B3A" w:rsidP="001764F0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16" w:history="1">
              <w:r w:rsidRPr="00594E37">
                <w:rPr>
                  <w:rStyle w:val="Hyperlink"/>
                  <w:rFonts w:ascii="Arial" w:hAnsi="Arial" w:cs="Arial"/>
                  <w:sz w:val="20"/>
                  <w:szCs w:val="20"/>
                </w:rPr>
                <w:t>200.414</w:t>
              </w:r>
            </w:hyperlink>
          </w:p>
        </w:tc>
        <w:tc>
          <w:tcPr>
            <w:tcW w:w="2031" w:type="dxa"/>
          </w:tcPr>
          <w:p w14:paraId="7EA39EEC" w14:textId="69533481" w:rsidR="00FC1B3A" w:rsidRPr="0097719B" w:rsidRDefault="0097719B" w:rsidP="001764F0">
            <w:pPr>
              <w:rPr>
                <w:sz w:val="20"/>
                <w:szCs w:val="20"/>
              </w:rPr>
            </w:pPr>
            <w:r w:rsidRPr="0097719B">
              <w:rPr>
                <w:sz w:val="20"/>
                <w:szCs w:val="20"/>
              </w:rPr>
              <w:t>Indirect Costs</w:t>
            </w:r>
          </w:p>
        </w:tc>
        <w:tc>
          <w:tcPr>
            <w:tcW w:w="1530" w:type="dxa"/>
          </w:tcPr>
          <w:p w14:paraId="6614B9F8" w14:textId="77777777" w:rsidR="00FC1B3A" w:rsidRDefault="00FC1B3A" w:rsidP="001764F0"/>
        </w:tc>
        <w:tc>
          <w:tcPr>
            <w:tcW w:w="1440" w:type="dxa"/>
          </w:tcPr>
          <w:p w14:paraId="442F5136" w14:textId="77777777" w:rsidR="00FC1B3A" w:rsidRDefault="00FC1B3A" w:rsidP="001764F0"/>
        </w:tc>
        <w:tc>
          <w:tcPr>
            <w:tcW w:w="1350" w:type="dxa"/>
          </w:tcPr>
          <w:p w14:paraId="664B5098" w14:textId="77777777" w:rsidR="00FC1B3A" w:rsidRDefault="00FC1B3A" w:rsidP="001764F0"/>
        </w:tc>
        <w:tc>
          <w:tcPr>
            <w:tcW w:w="5130" w:type="dxa"/>
          </w:tcPr>
          <w:p w14:paraId="725FB819" w14:textId="77777777" w:rsidR="00FC1B3A" w:rsidRDefault="00FC1B3A" w:rsidP="001764F0"/>
        </w:tc>
      </w:tr>
      <w:tr w:rsidR="00FC1B3A" w14:paraId="6CA8F411" w14:textId="77777777" w:rsidTr="001764F0">
        <w:tc>
          <w:tcPr>
            <w:tcW w:w="2109" w:type="dxa"/>
          </w:tcPr>
          <w:p w14:paraId="2BBA8660" w14:textId="77777777" w:rsidR="00FC1B3A" w:rsidRPr="00594E37" w:rsidRDefault="00FC1B3A" w:rsidP="001764F0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</w:tc>
        <w:tc>
          <w:tcPr>
            <w:tcW w:w="2031" w:type="dxa"/>
          </w:tcPr>
          <w:p w14:paraId="2DC1DBF4" w14:textId="340419EB" w:rsidR="00FC1B3A" w:rsidRPr="0097719B" w:rsidRDefault="0097719B" w:rsidP="001764F0">
            <w:pPr>
              <w:rPr>
                <w:sz w:val="20"/>
                <w:szCs w:val="20"/>
              </w:rPr>
            </w:pPr>
            <w:r w:rsidRPr="0097719B">
              <w:rPr>
                <w:sz w:val="20"/>
                <w:szCs w:val="20"/>
              </w:rPr>
              <w:t>Total Project Budget</w:t>
            </w:r>
          </w:p>
        </w:tc>
        <w:tc>
          <w:tcPr>
            <w:tcW w:w="1530" w:type="dxa"/>
          </w:tcPr>
          <w:p w14:paraId="011FF9A2" w14:textId="77777777" w:rsidR="00FC1B3A" w:rsidRDefault="00FC1B3A" w:rsidP="001764F0"/>
        </w:tc>
        <w:tc>
          <w:tcPr>
            <w:tcW w:w="1440" w:type="dxa"/>
          </w:tcPr>
          <w:p w14:paraId="42B87519" w14:textId="77777777" w:rsidR="00FC1B3A" w:rsidRDefault="00FC1B3A" w:rsidP="001764F0"/>
        </w:tc>
        <w:tc>
          <w:tcPr>
            <w:tcW w:w="1350" w:type="dxa"/>
          </w:tcPr>
          <w:p w14:paraId="3971113B" w14:textId="77777777" w:rsidR="00FC1B3A" w:rsidRDefault="00FC1B3A" w:rsidP="001764F0"/>
        </w:tc>
        <w:tc>
          <w:tcPr>
            <w:tcW w:w="5130" w:type="dxa"/>
          </w:tcPr>
          <w:p w14:paraId="41AEDEDF" w14:textId="77777777" w:rsidR="00FC1B3A" w:rsidRDefault="00FC1B3A" w:rsidP="001764F0"/>
        </w:tc>
      </w:tr>
    </w:tbl>
    <w:p w14:paraId="6664D25E" w14:textId="5CF5D7AC" w:rsidR="001764F0" w:rsidRDefault="00DE378A">
      <w:r>
        <w:t xml:space="preserve">The following is a tool that local governments may use as part of their ARP/CSLFRF project eligibility review. You may want to add it as an addendum to your </w:t>
      </w:r>
      <w:hyperlink r:id="rId17" w:history="1">
        <w:r w:rsidR="009E3C70" w:rsidRPr="009823CB">
          <w:rPr>
            <w:rStyle w:val="Hyperlink"/>
            <w:b/>
            <w:bCs/>
          </w:rPr>
          <w:t>project file checklist/eligibility worksheet</w:t>
        </w:r>
      </w:hyperlink>
      <w:r w:rsidR="001764F0">
        <w:t xml:space="preserve">. Proposed ARP/CSLFRF projects should include an estimated budget, broken down by cost item (as per below). </w:t>
      </w:r>
      <w:r w:rsidR="000F22B8">
        <w:t xml:space="preserve">The local </w:t>
      </w:r>
      <w:r w:rsidR="004211CB">
        <w:t>government’s</w:t>
      </w:r>
      <w:r w:rsidR="000F22B8">
        <w:t xml:space="preserve"> finance officer (or other employee responsible for Uniform Guidance compliance review) </w:t>
      </w:r>
      <w:r w:rsidR="004211CB">
        <w:t>should verify the necessity and reasonableness of each cost item</w:t>
      </w:r>
      <w:r w:rsidR="004075BA">
        <w:t xml:space="preserve"> and </w:t>
      </w:r>
      <w:r w:rsidR="004211CB">
        <w:t>its percentage allocation to the project. And</w:t>
      </w:r>
      <w:r w:rsidR="004075BA">
        <w:t xml:space="preserve"> </w:t>
      </w:r>
      <w:r w:rsidR="004211CB">
        <w:t xml:space="preserve">the reviewer should identify for the project team any required documentation. </w:t>
      </w:r>
    </w:p>
    <w:sectPr w:rsidR="001764F0" w:rsidSect="00230987"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9E004" w14:textId="77777777" w:rsidR="005902F8" w:rsidRDefault="005902F8" w:rsidP="005902F8">
      <w:r>
        <w:separator/>
      </w:r>
    </w:p>
  </w:endnote>
  <w:endnote w:type="continuationSeparator" w:id="0">
    <w:p w14:paraId="035B53AA" w14:textId="77777777" w:rsidR="005902F8" w:rsidRDefault="005902F8" w:rsidP="0059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5ED04" w14:textId="1FEA508B" w:rsidR="005902F8" w:rsidRDefault="005902F8" w:rsidP="005902F8">
    <w:pPr>
      <w:pStyle w:val="Footer"/>
      <w:jc w:val="right"/>
    </w:pPr>
    <w:r>
      <w:t>UNC Chapel Hill School of Government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8E8D" w14:textId="77777777" w:rsidR="005902F8" w:rsidRDefault="005902F8" w:rsidP="005902F8">
      <w:r>
        <w:separator/>
      </w:r>
    </w:p>
  </w:footnote>
  <w:footnote w:type="continuationSeparator" w:id="0">
    <w:p w14:paraId="31FB2106" w14:textId="77777777" w:rsidR="005902F8" w:rsidRDefault="005902F8" w:rsidP="00590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21"/>
    <w:rsid w:val="000E33E3"/>
    <w:rsid w:val="000F22B8"/>
    <w:rsid w:val="00126B54"/>
    <w:rsid w:val="00160396"/>
    <w:rsid w:val="001764F0"/>
    <w:rsid w:val="00230987"/>
    <w:rsid w:val="003909BA"/>
    <w:rsid w:val="003F229D"/>
    <w:rsid w:val="00404628"/>
    <w:rsid w:val="004075BA"/>
    <w:rsid w:val="004211CB"/>
    <w:rsid w:val="005902F8"/>
    <w:rsid w:val="00594E37"/>
    <w:rsid w:val="007C01AE"/>
    <w:rsid w:val="0097719B"/>
    <w:rsid w:val="009823CB"/>
    <w:rsid w:val="009E3C70"/>
    <w:rsid w:val="00A049D4"/>
    <w:rsid w:val="00B72827"/>
    <w:rsid w:val="00BB5602"/>
    <w:rsid w:val="00D16ED7"/>
    <w:rsid w:val="00DB6021"/>
    <w:rsid w:val="00DE378A"/>
    <w:rsid w:val="00E628A4"/>
    <w:rsid w:val="00EC06BD"/>
    <w:rsid w:val="00EC6208"/>
    <w:rsid w:val="00FC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FECC0"/>
  <w15:chartTrackingRefBased/>
  <w15:docId w15:val="{A78A6F2C-D609-F346-B361-C5572AC5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4628"/>
    <w:rPr>
      <w:color w:val="1155C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3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0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F8"/>
  </w:style>
  <w:style w:type="paragraph" w:styleId="Footer">
    <w:name w:val="footer"/>
    <w:basedOn w:val="Normal"/>
    <w:link w:val="FooterChar"/>
    <w:uiPriority w:val="99"/>
    <w:unhideWhenUsed/>
    <w:rsid w:val="00590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cfr/text/2/200.475" TargetMode="External"/><Relationship Id="rId13" Type="http://schemas.openxmlformats.org/officeDocument/2006/relationships/hyperlink" Target="https://www.ecfr.gov/current/title-2/subtitle-A/chapter-II/part-200/subpart-E/subject-group-ECFRed1f39f9b3d4e72/section-200.471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ecfr.gov/current/title-2/subtitle-A/chapter-II/part-200/subpart-E/subject-group-ECFRed1f39f9b3d4e72/section-200.431" TargetMode="External"/><Relationship Id="rId12" Type="http://schemas.openxmlformats.org/officeDocument/2006/relationships/hyperlink" Target="https://www.ecfr.gov/current/title-2/subtitle-A/chapter-II/part-200/subpart-E/subject-group-ECFRed1f39f9b3d4e72/section-200.465" TargetMode="External"/><Relationship Id="rId17" Type="http://schemas.openxmlformats.org/officeDocument/2006/relationships/hyperlink" Target="https://www.sog.unc.edu/file/arpa-program-file-checklisttmo30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cfr.gov/current/title-2/subtitle-A/chapter-II/part-200/subpart-E/subject-group-ECFRd93f2a98b1f6455/section-200.41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cfr.gov/current/title-2/subtitle-A/chapter-II/part-200/subpart-E/subject-group-ECFRed1f39f9b3d4e72/section-200.430" TargetMode="External"/><Relationship Id="rId11" Type="http://schemas.openxmlformats.org/officeDocument/2006/relationships/hyperlink" Target="https://www.law.cornell.edu/cfr/text/2/200.45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cfr.gov/current/title-2/subtitle-A/chapter-II/part-200/subpart-E/subject-group-ECFRd93f2a98b1f6455/section-200.413" TargetMode="External"/><Relationship Id="rId10" Type="http://schemas.openxmlformats.org/officeDocument/2006/relationships/hyperlink" Target="https://www.ecfr.gov/current/title-2/subtitle-A/chapter-II/part-200/subpart-E/subject-group-ECFRed1f39f9b3d4e72/section-200.453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ecfr.gov/current/title-2/subtitle-A/chapter-II/part-200/subpart-E/subject-group-ECFRed1f39f9b3d4e72/section-200.439" TargetMode="External"/><Relationship Id="rId14" Type="http://schemas.openxmlformats.org/officeDocument/2006/relationships/hyperlink" Target="https://www.ecfr.gov/current/title-2/subtitle-A/chapter-II/part-200/subpart-E/subject-group-ECFRed1f39f9b3d4e72/section-200.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Millonzi, Kara Anne</dc:creator>
  <cp:keywords/>
  <dc:description/>
  <cp:lastModifiedBy>Millonzi, Kara Anne</cp:lastModifiedBy>
  <cp:revision>6</cp:revision>
  <dcterms:created xsi:type="dcterms:W3CDTF">2021-12-23T14:22:00Z</dcterms:created>
  <dcterms:modified xsi:type="dcterms:W3CDTF">2021-12-23T14:28:00Z</dcterms:modified>
</cp:coreProperties>
</file>