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C0E9" w14:textId="52F5FF8D" w:rsidR="009E1558" w:rsidRPr="006E77D4" w:rsidRDefault="009E1558" w:rsidP="009E1558">
      <w:pPr>
        <w:spacing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b/>
          <w:color w:val="FF0000"/>
          <w:sz w:val="24"/>
          <w:szCs w:val="24"/>
        </w:rPr>
        <w:t>[Note that th</w:t>
      </w:r>
      <w:r w:rsidR="00E85536">
        <w:rPr>
          <w:rFonts w:ascii="Times New Roman" w:eastAsia="Times New Roman" w:hAnsi="Times New Roman" w:cs="Times New Roman"/>
          <w:b/>
          <w:color w:val="FF0000"/>
          <w:sz w:val="24"/>
          <w:szCs w:val="24"/>
        </w:rPr>
        <w:t xml:space="preserve">ese </w:t>
      </w:r>
      <w:r w:rsidRPr="006E77D4">
        <w:rPr>
          <w:rFonts w:ascii="Times New Roman" w:eastAsia="Times New Roman" w:hAnsi="Times New Roman" w:cs="Times New Roman"/>
          <w:b/>
          <w:color w:val="FF0000"/>
          <w:sz w:val="24"/>
          <w:szCs w:val="24"/>
        </w:rPr>
        <w:t xml:space="preserve">sample </w:t>
      </w:r>
      <w:r w:rsidR="00E85536">
        <w:rPr>
          <w:rFonts w:ascii="Times New Roman" w:eastAsia="Times New Roman" w:hAnsi="Times New Roman" w:cs="Times New Roman"/>
          <w:b/>
          <w:color w:val="FF0000"/>
          <w:sz w:val="24"/>
          <w:szCs w:val="24"/>
        </w:rPr>
        <w:t xml:space="preserve">resolution and </w:t>
      </w:r>
      <w:r w:rsidRPr="006E77D4">
        <w:rPr>
          <w:rFonts w:ascii="Times New Roman" w:eastAsia="Times New Roman" w:hAnsi="Times New Roman" w:cs="Times New Roman"/>
          <w:b/>
          <w:color w:val="FF0000"/>
          <w:sz w:val="24"/>
          <w:szCs w:val="24"/>
        </w:rPr>
        <w:t xml:space="preserve">policy </w:t>
      </w:r>
      <w:r w:rsidR="00E85536">
        <w:rPr>
          <w:rFonts w:ascii="Times New Roman" w:eastAsia="Times New Roman" w:hAnsi="Times New Roman" w:cs="Times New Roman"/>
          <w:b/>
          <w:color w:val="FF0000"/>
          <w:sz w:val="24"/>
          <w:szCs w:val="24"/>
        </w:rPr>
        <w:t>are</w:t>
      </w:r>
      <w:r w:rsidRPr="006E77D4">
        <w:rPr>
          <w:rFonts w:ascii="Times New Roman" w:eastAsia="Times New Roman" w:hAnsi="Times New Roman" w:cs="Times New Roman"/>
          <w:b/>
          <w:color w:val="FF0000"/>
          <w:sz w:val="24"/>
          <w:szCs w:val="24"/>
        </w:rPr>
        <w:t xml:space="preserve"> intended to give NC local governments a general guide to crafting an Allowable Costs and Cost Principles Policy that is consistent with federal Uniform Guidance provision in 2 CFR 200 Subpart E</w:t>
      </w:r>
      <w:r w:rsidR="00E50B11">
        <w:rPr>
          <w:rFonts w:ascii="Times New Roman" w:eastAsia="Times New Roman" w:hAnsi="Times New Roman" w:cs="Times New Roman"/>
          <w:b/>
          <w:color w:val="FF0000"/>
          <w:sz w:val="24"/>
          <w:szCs w:val="24"/>
        </w:rPr>
        <w:t>, as it applies to the American Rescue Plan Act of 2021 Coronavirus State and Local Fiscal Recovery Fund program</w:t>
      </w:r>
      <w:r w:rsidRPr="006E77D4">
        <w:rPr>
          <w:rFonts w:ascii="Times New Roman" w:eastAsia="Times New Roman" w:hAnsi="Times New Roman" w:cs="Times New Roman"/>
          <w:b/>
          <w:color w:val="FF0000"/>
          <w:sz w:val="24"/>
          <w:szCs w:val="24"/>
        </w:rPr>
        <w:t xml:space="preserve">. A local government must work with its attorney to draft a policy that is compliant with applicable laws and regulations and that can be fully implemented by the local government. Any questions about this sample policy, or suggestions for improvements, may be directed to </w:t>
      </w:r>
      <w:hyperlink r:id="rId7" w:history="1">
        <w:r w:rsidRPr="006E77D4">
          <w:rPr>
            <w:rStyle w:val="Hyperlink"/>
            <w:rFonts w:ascii="Times New Roman" w:eastAsia="Times New Roman" w:hAnsi="Times New Roman" w:cs="Times New Roman"/>
            <w:b/>
            <w:sz w:val="24"/>
            <w:szCs w:val="24"/>
          </w:rPr>
          <w:t>millonzi@sog.unc.edu</w:t>
        </w:r>
      </w:hyperlink>
      <w:r w:rsidRPr="006E77D4">
        <w:rPr>
          <w:rFonts w:ascii="Times New Roman" w:eastAsia="Times New Roman" w:hAnsi="Times New Roman" w:cs="Times New Roman"/>
          <w:b/>
          <w:color w:val="FF0000"/>
          <w:sz w:val="24"/>
          <w:szCs w:val="24"/>
        </w:rPr>
        <w:t xml:space="preserve">.] </w:t>
      </w:r>
    </w:p>
    <w:p w14:paraId="65FF757F" w14:textId="7D46CC40" w:rsidR="009E1558" w:rsidRPr="006E77D4" w:rsidRDefault="009E1558" w:rsidP="009E1558">
      <w:pPr>
        <w:pStyle w:val="Heading2"/>
        <w:rPr>
          <w:rFonts w:eastAsia="Times New Roman"/>
          <w:b/>
          <w:bCs/>
        </w:rPr>
      </w:pPr>
      <w:r w:rsidRPr="006E77D4">
        <w:rPr>
          <w:rFonts w:eastAsia="Times New Roman"/>
          <w:b/>
          <w:bCs/>
        </w:rPr>
        <w:t xml:space="preserve">SAMPLE </w:t>
      </w:r>
      <w:r w:rsidR="001E0A6E">
        <w:rPr>
          <w:rFonts w:eastAsia="Times New Roman"/>
          <w:b/>
          <w:bCs/>
        </w:rPr>
        <w:t>RESOLUTION</w:t>
      </w:r>
      <w:r w:rsidRPr="006E77D4">
        <w:rPr>
          <w:rFonts w:eastAsia="Times New Roman"/>
          <w:b/>
          <w:bCs/>
        </w:rPr>
        <w:t xml:space="preserve"> FOR ALLOWABLE COSTS AND COST PRINCIPLES FOR EXPENDITURE OF AMERICAN RESCUE PLAN ACT CORONAVIRUS STATE AND LOCAL FISCAL RECOVERY FUNDS BY NORTH CAROLINA LOCAL GOVERNMENTS</w:t>
      </w:r>
    </w:p>
    <w:p w14:paraId="144B7496"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 xml:space="preserve">WHEREAS </w:t>
      </w:r>
      <w:r w:rsidRPr="006E77D4">
        <w:rPr>
          <w:rFonts w:ascii="Times New Roman" w:hAnsi="Times New Roman" w:cs="Times New Roman"/>
          <w:sz w:val="24"/>
          <w:szCs w:val="24"/>
        </w:rPr>
        <w:t>the [LOCAL GOVERNMENT NAME], has received an allocation of funds from the Coronavirus State and Local Fiscal Recovery Funds of H.R. 1319 American Rescue Plan Act of 2021 (ARP/CSLFRF); and</w:t>
      </w:r>
    </w:p>
    <w:p w14:paraId="2DC4641A"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funds may be used for projects within these categories, to the extent authorized by state law.</w:t>
      </w:r>
    </w:p>
    <w:p w14:paraId="62410978"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Support public health expenditures, by funding COVID-19 mitigation efforts, medical expenses, behavioral healthcare, and certain public health and safety </w:t>
      </w:r>
      <w:proofErr w:type="gramStart"/>
      <w:r w:rsidRPr="006E77D4">
        <w:rPr>
          <w:rFonts w:ascii="Times New Roman" w:hAnsi="Times New Roman" w:cs="Times New Roman"/>
          <w:sz w:val="24"/>
          <w:szCs w:val="24"/>
        </w:rPr>
        <w:t>staff;</w:t>
      </w:r>
      <w:proofErr w:type="gramEnd"/>
    </w:p>
    <w:p w14:paraId="74151A21"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Address negative economic impacts caused by the public health emergency, including economic harms to workers, households, small businesses, impacted industries, and the public </w:t>
      </w:r>
      <w:proofErr w:type="gramStart"/>
      <w:r w:rsidRPr="006E77D4">
        <w:rPr>
          <w:rFonts w:ascii="Times New Roman" w:hAnsi="Times New Roman" w:cs="Times New Roman"/>
          <w:sz w:val="24"/>
          <w:szCs w:val="24"/>
        </w:rPr>
        <w:t>sector;</w:t>
      </w:r>
      <w:proofErr w:type="gramEnd"/>
    </w:p>
    <w:p w14:paraId="68986683"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Replace lost public sector revenue, using this funding to provide government services to the extent of the reduction in revenue experienced due to the </w:t>
      </w:r>
      <w:proofErr w:type="gramStart"/>
      <w:r w:rsidRPr="006E77D4">
        <w:rPr>
          <w:rFonts w:ascii="Times New Roman" w:hAnsi="Times New Roman" w:cs="Times New Roman"/>
          <w:sz w:val="24"/>
          <w:szCs w:val="24"/>
        </w:rPr>
        <w:t>pandemic;</w:t>
      </w:r>
      <w:proofErr w:type="gramEnd"/>
    </w:p>
    <w:p w14:paraId="39A1999D"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Provide premium pay for essential workers, offering additional support to those who have borne and will bear the greatest health risks because of their service in critical infrastructure sectors; and,</w:t>
      </w:r>
    </w:p>
    <w:p w14:paraId="078EF6B4"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Invest in water, sewer, and broadband infrastructure, making necessary investments to improve access to clean drinking water, support vital wastewater and stormwater infrastructure, and to expand access to broadband internet; and</w:t>
      </w:r>
    </w:p>
    <w:p w14:paraId="129B02A1"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ARP/CSLFRF are subject to the provisions of the federal Uniform Grant Guidance, 2 CFR Sect. 200 (UG), as provided in the </w:t>
      </w:r>
      <w:hyperlink r:id="rId8" w:history="1">
        <w:r w:rsidRPr="006E77D4">
          <w:rPr>
            <w:rStyle w:val="Hyperlink"/>
            <w:rFonts w:ascii="Times New Roman" w:hAnsi="Times New Roman" w:cs="Times New Roman"/>
            <w:sz w:val="24"/>
            <w:szCs w:val="24"/>
          </w:rPr>
          <w:t>Assistance Listing</w:t>
        </w:r>
      </w:hyperlink>
      <w:r w:rsidRPr="006E77D4">
        <w:rPr>
          <w:rFonts w:ascii="Times New Roman" w:hAnsi="Times New Roman" w:cs="Times New Roman"/>
          <w:sz w:val="24"/>
          <w:szCs w:val="24"/>
        </w:rPr>
        <w:t xml:space="preserve">; and </w:t>
      </w:r>
    </w:p>
    <w:p w14:paraId="5FC0868B"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w:t>
      </w:r>
      <w:hyperlink r:id="rId9" w:history="1">
        <w:r w:rsidRPr="006E77D4">
          <w:rPr>
            <w:rStyle w:val="Hyperlink"/>
            <w:rFonts w:ascii="Times New Roman" w:hAnsi="Times New Roman" w:cs="Times New Roman"/>
            <w:sz w:val="24"/>
            <w:szCs w:val="24"/>
          </w:rPr>
          <w:t>Compliance and Reporting Guidance for the State and Local Fiscal Recovery Funds</w:t>
        </w:r>
      </w:hyperlink>
      <w:r w:rsidRPr="006E77D4">
        <w:rPr>
          <w:rFonts w:ascii="Times New Roman" w:hAnsi="Times New Roman" w:cs="Times New Roman"/>
          <w:sz w:val="24"/>
          <w:szCs w:val="24"/>
        </w:rPr>
        <w:t xml:space="preserve"> provides, in relevant part:</w:t>
      </w:r>
    </w:p>
    <w:p w14:paraId="77F67B34"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b/>
          <w:bCs/>
          <w:sz w:val="24"/>
          <w:szCs w:val="24"/>
          <w:lang w:val="en-US"/>
        </w:rPr>
        <w:t xml:space="preserve">Allowable Costs/Cost Principles. </w:t>
      </w:r>
      <w:r w:rsidRPr="006E77D4">
        <w:rPr>
          <w:rFonts w:ascii="Times New Roman" w:eastAsia="Times New Roman" w:hAnsi="Times New Roman" w:cs="Times New Roman"/>
          <w:sz w:val="24"/>
          <w:szCs w:val="24"/>
          <w:lang w:val="en-US"/>
        </w:rPr>
        <w:t xml:space="preserve">As outlined in the Uniform Guidance at 2 CFR Part 200, Subpart E regarding Cost Principles, allowable costs are based on the premise that a recipient is responsible for the effective administration of Federal awards, application of sound management practices, and administration of Federal funds in a manner consistent with the program objectives and terms and conditions of the award. Recipients must </w:t>
      </w:r>
      <w:r w:rsidRPr="006E77D4">
        <w:rPr>
          <w:rFonts w:ascii="Times New Roman" w:eastAsia="Times New Roman" w:hAnsi="Times New Roman" w:cs="Times New Roman"/>
          <w:sz w:val="24"/>
          <w:szCs w:val="24"/>
          <w:lang w:val="en-US"/>
        </w:rPr>
        <w:lastRenderedPageBreak/>
        <w:t xml:space="preserve">implement robust internal controls and effective monitoring to ensure compliance with the Cost Principles, which are important for building trust and accountability. </w:t>
      </w:r>
    </w:p>
    <w:p w14:paraId="45E16BA2"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[ARP/CSLFRF] Funds may be, but are not required to be, used along with other funding sources for a given project. Note that [ARP/CSLFRF] Funds may not be used for a non-Federal cost share or match </w:t>
      </w:r>
      <w:proofErr w:type="gramStart"/>
      <w:r w:rsidRPr="006E77D4">
        <w:rPr>
          <w:rFonts w:ascii="Times New Roman" w:eastAsia="Times New Roman" w:hAnsi="Times New Roman" w:cs="Times New Roman"/>
          <w:sz w:val="24"/>
          <w:szCs w:val="24"/>
          <w:lang w:val="en-US"/>
        </w:rPr>
        <w:t>where</w:t>
      </w:r>
      <w:proofErr w:type="gramEnd"/>
      <w:r w:rsidRPr="006E77D4">
        <w:rPr>
          <w:rFonts w:ascii="Times New Roman" w:eastAsia="Times New Roman" w:hAnsi="Times New Roman" w:cs="Times New Roman"/>
          <w:sz w:val="24"/>
          <w:szCs w:val="24"/>
          <w:lang w:val="en-US"/>
        </w:rPr>
        <w:t xml:space="preserve"> prohibited by other Federal programs, e.g., funds may not be used for the State share for Medicaid.</w:t>
      </w:r>
      <w:r w:rsidRPr="006E77D4">
        <w:rPr>
          <w:rFonts w:ascii="Times New Roman" w:eastAsia="Times New Roman" w:hAnsi="Times New Roman" w:cs="Times New Roman"/>
          <w:position w:val="8"/>
          <w:sz w:val="24"/>
          <w:szCs w:val="24"/>
          <w:lang w:val="en-US"/>
        </w:rPr>
        <w:t xml:space="preserve"> </w:t>
      </w:r>
    </w:p>
    <w:p w14:paraId="73EAF57F"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Treasury’s Interim Final Rule and guidance and the Uniform Guidance outline the types of costs that are allowable, including certain audit costs. For example, per 2 CFR 200.425, a reasonably proportionate share of the costs of audits required by the Single Audit Act Amendments of 1996 are allowable; however, costs for audits that were not performed in accordance with 2 CFR Part 200, Subpart F are not allowable. Please see 2 CFR Part 200, Subpart E regarding the Cost Principles for more information. </w:t>
      </w:r>
    </w:p>
    <w:p w14:paraId="17D90C90"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Administrative costs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Recipients may use funds for administering the SLFRF program, including costs of consultants to support effective management and oversight, including consultation for ensuring compliance with legal, regulatory, and other requirements.</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Further, costs must be reasonable and allocable as outlined in 2 CFR 200.404 and 2 CFR 200.405. Pursuant to the [ARP/CSLFRF] Award Terms and Conditions, recipients are permitted to charge both direct and indirect costs to their SLFRF award as administrative costs. Direct costs are those that are identified specifically as costs of implementing the [ARP/CSLFRF] program objectives, such as contract support, materials, and supplies for a project. Indirect costs are general overhead costs of an organization where a portion of such costs are allocable to the [ARP/CSLFRF] award such as the cost of facilities or administrative functions like a director’s office.</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 xml:space="preserve">Each category of cost should be treated consistently in like circumstances as direct or indirect, and recipients may not charge the same administrative costs to both direct and indirect cost categories, or to other programs. If a recipient has a current Negotiated Indirect Costs Rate Agreement (NICRA) established with a Federal cognizant agency responsible for reviewing, negotiating, and approving cost allocation plans or indirect cost proposals, then the recipient may use its current NICRA. Alternatively, if the recipient does not have a NICRA, the recipient may elect to use the de minimis rate of 10 percent of the modified total direct costs pursuant to 2 CFR 200.414(f). </w:t>
      </w:r>
    </w:p>
    <w:p w14:paraId="7CC3BADD" w14:textId="77777777" w:rsidR="009E1558" w:rsidRPr="006E77D4" w:rsidRDefault="009E1558" w:rsidP="009E1558">
      <w:pPr>
        <w:pStyle w:val="ListParagraph"/>
        <w:spacing w:before="100" w:beforeAutospacing="1" w:after="100" w:afterAutospacing="1" w:line="240" w:lineRule="auto"/>
        <w:ind w:left="1800"/>
        <w:rPr>
          <w:rFonts w:ascii="Times New Roman" w:eastAsia="Times New Roman" w:hAnsi="Times New Roman" w:cs="Times New Roman"/>
          <w:sz w:val="24"/>
          <w:szCs w:val="24"/>
          <w:lang w:val="en-US"/>
        </w:rPr>
      </w:pPr>
    </w:p>
    <w:p w14:paraId="7BE4A638"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Salaries and Expenses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In general, certain employees’ wages, salaries, and covered benefits are an eligible use of [ARP/CSLFRF] award funds; and</w:t>
      </w:r>
    </w:p>
    <w:p w14:paraId="0DC9AEF4" w14:textId="6DC6CFB9"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Subpart E of the UG dictates allowable costs and cost principles for expenditure of ARP/CSLFRF funds; </w:t>
      </w:r>
      <w:r>
        <w:rPr>
          <w:rFonts w:ascii="Times New Roman" w:hAnsi="Times New Roman" w:cs="Times New Roman"/>
          <w:sz w:val="24"/>
          <w:szCs w:val="24"/>
        </w:rPr>
        <w:t>and</w:t>
      </w:r>
    </w:p>
    <w:p w14:paraId="1BDD31C1" w14:textId="77777777" w:rsidR="009E1558" w:rsidRDefault="009E1558" w:rsidP="009E1558">
      <w:pPr>
        <w:spacing w:line="240" w:lineRule="auto"/>
        <w:rPr>
          <w:rFonts w:ascii="Times New Roman" w:hAnsi="Times New Roman" w:cs="Times New Roman"/>
          <w:b/>
          <w:bCs/>
          <w:sz w:val="24"/>
          <w:szCs w:val="24"/>
        </w:rPr>
      </w:pPr>
    </w:p>
    <w:p w14:paraId="648C44D3" w14:textId="77777777" w:rsidR="009E1558" w:rsidRDefault="009E1558" w:rsidP="009E1558">
      <w:pPr>
        <w:spacing w:line="240" w:lineRule="auto"/>
        <w:rPr>
          <w:rFonts w:ascii="Times New Roman" w:hAnsi="Times New Roman" w:cs="Times New Roman"/>
          <w:b/>
          <w:bCs/>
          <w:sz w:val="24"/>
          <w:szCs w:val="24"/>
        </w:rPr>
      </w:pPr>
    </w:p>
    <w:p w14:paraId="0D497CD1" w14:textId="0FCA7236" w:rsidR="009E1558" w:rsidRPr="006E77D4" w:rsidRDefault="009E1558" w:rsidP="009E1558">
      <w:pPr>
        <w:spacing w:line="240" w:lineRule="auto"/>
        <w:rPr>
          <w:rFonts w:ascii="Times New Roman" w:eastAsia="Times New Roman" w:hAnsi="Times New Roman" w:cs="Times New Roman"/>
          <w:color w:val="000000"/>
          <w:sz w:val="24"/>
          <w:szCs w:val="24"/>
          <w:lang w:val="en-US"/>
        </w:rPr>
      </w:pPr>
      <w:r w:rsidRPr="006E77D4">
        <w:rPr>
          <w:rFonts w:ascii="Times New Roman" w:hAnsi="Times New Roman" w:cs="Times New Roman"/>
          <w:b/>
          <w:bCs/>
          <w:sz w:val="24"/>
          <w:szCs w:val="24"/>
        </w:rPr>
        <w:lastRenderedPageBreak/>
        <w:t>WHER</w:t>
      </w:r>
      <w:r>
        <w:rPr>
          <w:rFonts w:ascii="Times New Roman" w:hAnsi="Times New Roman" w:cs="Times New Roman"/>
          <w:b/>
          <w:bCs/>
          <w:sz w:val="24"/>
          <w:szCs w:val="24"/>
        </w:rPr>
        <w:t>E</w:t>
      </w:r>
      <w:r w:rsidRPr="006E77D4">
        <w:rPr>
          <w:rFonts w:ascii="Times New Roman" w:hAnsi="Times New Roman" w:cs="Times New Roman"/>
          <w:b/>
          <w:bCs/>
          <w:sz w:val="24"/>
          <w:szCs w:val="24"/>
        </w:rPr>
        <w:t>AS</w:t>
      </w:r>
      <w:r w:rsidRPr="006E77D4">
        <w:rPr>
          <w:rFonts w:ascii="Times New Roman" w:hAnsi="Times New Roman" w:cs="Times New Roman"/>
          <w:sz w:val="24"/>
          <w:szCs w:val="24"/>
        </w:rPr>
        <w:t xml:space="preserve"> </w:t>
      </w:r>
      <w:r w:rsidRPr="006E77D4">
        <w:rPr>
          <w:rFonts w:ascii="Times New Roman" w:eastAsia="Times New Roman" w:hAnsi="Times New Roman" w:cs="Times New Roman"/>
          <w:color w:val="000000"/>
          <w:sz w:val="24"/>
          <w:szCs w:val="24"/>
          <w:lang w:val="en-US"/>
        </w:rPr>
        <w:t xml:space="preserve">Subpart E of the UG (specifically, 200.400) states that: </w:t>
      </w:r>
    </w:p>
    <w:p w14:paraId="57461DEA" w14:textId="77777777" w:rsidR="009E1558" w:rsidRPr="006E77D4" w:rsidRDefault="009E1558" w:rsidP="009E1558">
      <w:pPr>
        <w:spacing w:line="240" w:lineRule="auto"/>
        <w:ind w:left="720"/>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application of these cost principles is based on the fundamental premises that: </w:t>
      </w:r>
    </w:p>
    <w:p w14:paraId="37F6787E"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is responsible for the efficient and effective administration of the Federal award through the application of sound management practices. </w:t>
      </w:r>
    </w:p>
    <w:p w14:paraId="0579557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assumes responsibility for administering Federal funds in a manner consistent with underlying agreements, program objectives, and the terms and conditions of the Federal award. </w:t>
      </w:r>
    </w:p>
    <w:p w14:paraId="1AD15C7A"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in recognition of its own unique combination of staff, facilities, and experience, has the primary responsibility for employing whatever form of sound organization and management techniques may be necessary </w:t>
      </w:r>
      <w:proofErr w:type="gramStart"/>
      <w:r w:rsidRPr="006E77D4">
        <w:rPr>
          <w:rFonts w:ascii="Times New Roman" w:eastAsia="Times New Roman" w:hAnsi="Times New Roman" w:cs="Times New Roman"/>
          <w:color w:val="000000"/>
          <w:sz w:val="24"/>
          <w:szCs w:val="24"/>
          <w:lang w:val="en-US"/>
        </w:rPr>
        <w:t>in order to</w:t>
      </w:r>
      <w:proofErr w:type="gramEnd"/>
      <w:r w:rsidRPr="006E77D4">
        <w:rPr>
          <w:rFonts w:ascii="Times New Roman" w:eastAsia="Times New Roman" w:hAnsi="Times New Roman" w:cs="Times New Roman"/>
          <w:color w:val="000000"/>
          <w:sz w:val="24"/>
          <w:szCs w:val="24"/>
          <w:lang w:val="en-US"/>
        </w:rPr>
        <w:t xml:space="preserve"> assure proper and efficient administration of the Federal award. </w:t>
      </w:r>
    </w:p>
    <w:p w14:paraId="6CD57368"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w:t>
      </w:r>
      <w:proofErr w:type="gramStart"/>
      <w:r w:rsidRPr="006E77D4">
        <w:rPr>
          <w:rFonts w:ascii="Times New Roman" w:eastAsia="Times New Roman" w:hAnsi="Times New Roman" w:cs="Times New Roman"/>
          <w:color w:val="000000"/>
          <w:sz w:val="24"/>
          <w:szCs w:val="24"/>
          <w:lang w:val="en-US"/>
        </w:rPr>
        <w:t>principles, and</w:t>
      </w:r>
      <w:proofErr w:type="gramEnd"/>
      <w:r w:rsidRPr="006E77D4">
        <w:rPr>
          <w:rFonts w:ascii="Times New Roman" w:eastAsia="Times New Roman" w:hAnsi="Times New Roman" w:cs="Times New Roman"/>
          <w:color w:val="000000"/>
          <w:sz w:val="24"/>
          <w:szCs w:val="24"/>
          <w:lang w:val="en-US"/>
        </w:rPr>
        <w:t xml:space="preserve"> must provide for adequate documentation to support costs charged to the Federal award. </w:t>
      </w:r>
    </w:p>
    <w:p w14:paraId="53B95ABC"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In reviewing, </w:t>
      </w:r>
      <w:proofErr w:type="gramStart"/>
      <w:r w:rsidRPr="006E77D4">
        <w:rPr>
          <w:rFonts w:ascii="Times New Roman" w:eastAsia="Times New Roman" w:hAnsi="Times New Roman" w:cs="Times New Roman"/>
          <w:color w:val="000000"/>
          <w:sz w:val="24"/>
          <w:szCs w:val="24"/>
          <w:lang w:val="en-US"/>
        </w:rPr>
        <w:t>negotiating</w:t>
      </w:r>
      <w:proofErr w:type="gramEnd"/>
      <w:r w:rsidRPr="006E77D4">
        <w:rPr>
          <w:rFonts w:ascii="Times New Roman" w:eastAsia="Times New Roman" w:hAnsi="Times New Roman" w:cs="Times New Roman"/>
          <w:color w:val="000000"/>
          <w:sz w:val="24"/>
          <w:szCs w:val="24"/>
          <w:lang w:val="en-US"/>
        </w:rPr>
        <w:t xml:space="preserve"> and approving cost allocation plans or indirect cost proposals, the cognizant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w:t>
      </w:r>
    </w:p>
    <w:p w14:paraId="08DAC52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 </w:t>
      </w:r>
    </w:p>
    <w:p w14:paraId="4BCB11E2"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may not earn or keep any profit resulting from Federal financial assistance, unless explicitly authorized by the terms and conditions of the Federal </w:t>
      </w:r>
      <w:proofErr w:type="gramStart"/>
      <w:r w:rsidRPr="006E77D4">
        <w:rPr>
          <w:rFonts w:ascii="Times New Roman" w:eastAsia="Times New Roman" w:hAnsi="Times New Roman" w:cs="Times New Roman"/>
          <w:color w:val="000000"/>
          <w:sz w:val="24"/>
          <w:szCs w:val="24"/>
          <w:lang w:val="en-US"/>
        </w:rPr>
        <w:t>award;</w:t>
      </w:r>
      <w:proofErr w:type="gramEnd"/>
    </w:p>
    <w:p w14:paraId="4879F054" w14:textId="43BF5FAD" w:rsidR="009E1558" w:rsidRPr="006E77D4" w:rsidRDefault="009E1558" w:rsidP="009E1558">
      <w:pPr>
        <w:spacing w:line="240" w:lineRule="auto"/>
        <w:rPr>
          <w:rFonts w:ascii="Times New Roman" w:eastAsia="Arial" w:hAnsi="Times New Roman" w:cs="Times New Roman"/>
          <w:sz w:val="24"/>
          <w:szCs w:val="24"/>
        </w:rPr>
      </w:pPr>
      <w:r w:rsidRPr="006E77D4">
        <w:rPr>
          <w:rFonts w:ascii="Times New Roman" w:hAnsi="Times New Roman" w:cs="Times New Roman"/>
          <w:b/>
          <w:bCs/>
          <w:sz w:val="24"/>
          <w:szCs w:val="24"/>
        </w:rPr>
        <w:t>BE IT RESOLVED</w:t>
      </w:r>
      <w:r w:rsidRPr="006E77D4">
        <w:rPr>
          <w:rFonts w:ascii="Times New Roman" w:hAnsi="Times New Roman" w:cs="Times New Roman"/>
          <w:sz w:val="24"/>
          <w:szCs w:val="24"/>
        </w:rPr>
        <w:t xml:space="preserve"> that the governing board of [LOCAL GOVERNMENT NAME] hereby adopts and enacts the following </w:t>
      </w:r>
      <w:r>
        <w:rPr>
          <w:rFonts w:ascii="Times New Roman" w:hAnsi="Times New Roman" w:cs="Times New Roman"/>
          <w:sz w:val="24"/>
          <w:szCs w:val="24"/>
        </w:rPr>
        <w:t>US Cost Principles Policy</w:t>
      </w:r>
      <w:r w:rsidRPr="006E77D4">
        <w:rPr>
          <w:rFonts w:ascii="Times New Roman" w:hAnsi="Times New Roman" w:cs="Times New Roman"/>
          <w:sz w:val="24"/>
          <w:szCs w:val="24"/>
        </w:rPr>
        <w:t xml:space="preserve"> for the expenditure of ARP/CSLFRF funds.</w:t>
      </w:r>
    </w:p>
    <w:p w14:paraId="1F237B2B" w14:textId="77777777" w:rsidR="001E0A6E" w:rsidRDefault="001E0A6E" w:rsidP="009E1558">
      <w:pPr>
        <w:pStyle w:val="Heading4"/>
        <w:rPr>
          <w:rFonts w:ascii="Times New Roman" w:hAnsi="Times New Roman" w:cs="Times New Roman"/>
          <w:b/>
          <w:bCs/>
          <w:sz w:val="24"/>
          <w:szCs w:val="24"/>
          <w:lang w:val="en-US"/>
        </w:rPr>
      </w:pPr>
    </w:p>
    <w:p w14:paraId="32C02E29" w14:textId="77777777" w:rsidR="001E0A6E" w:rsidRDefault="001E0A6E" w:rsidP="009E1558">
      <w:pPr>
        <w:pStyle w:val="Heading4"/>
        <w:rPr>
          <w:rFonts w:ascii="Times New Roman" w:hAnsi="Times New Roman" w:cs="Times New Roman"/>
          <w:b/>
          <w:bCs/>
          <w:sz w:val="24"/>
          <w:szCs w:val="24"/>
          <w:lang w:val="en-US"/>
        </w:rPr>
      </w:pPr>
    </w:p>
    <w:p w14:paraId="4CCBE26E" w14:textId="77777777" w:rsidR="001E0A6E" w:rsidRDefault="001E0A6E" w:rsidP="009E1558">
      <w:pPr>
        <w:pStyle w:val="Heading4"/>
        <w:rPr>
          <w:rFonts w:ascii="Times New Roman" w:hAnsi="Times New Roman" w:cs="Times New Roman"/>
          <w:b/>
          <w:bCs/>
          <w:sz w:val="24"/>
          <w:szCs w:val="24"/>
          <w:lang w:val="en-US"/>
        </w:rPr>
      </w:pPr>
    </w:p>
    <w:p w14:paraId="1DF4CB82" w14:textId="77777777" w:rsidR="001E0A6E" w:rsidRDefault="001E0A6E" w:rsidP="009E1558">
      <w:pPr>
        <w:pStyle w:val="Heading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SAMPLE </w:t>
      </w:r>
      <w:r w:rsidR="009E1558" w:rsidRPr="006E77D4">
        <w:rPr>
          <w:rFonts w:ascii="Times New Roman" w:hAnsi="Times New Roman" w:cs="Times New Roman"/>
          <w:b/>
          <w:bCs/>
          <w:sz w:val="24"/>
          <w:szCs w:val="24"/>
          <w:lang w:val="en-US"/>
        </w:rPr>
        <w:t xml:space="preserve">ALLOWABLE COSTS AND COSTS PRINCIPLES POLICY </w:t>
      </w:r>
    </w:p>
    <w:p w14:paraId="0905AF92" w14:textId="3BA0AC0A" w:rsidR="009E1558" w:rsidRPr="006E77D4" w:rsidRDefault="009E1558" w:rsidP="009E1558">
      <w:pPr>
        <w:pStyle w:val="Heading4"/>
        <w:rPr>
          <w:rFonts w:ascii="Times New Roman" w:eastAsia="Arial" w:hAnsi="Times New Roman" w:cs="Times New Roman"/>
          <w:b/>
          <w:bCs/>
          <w:sz w:val="24"/>
          <w:szCs w:val="24"/>
          <w:lang w:val="en-US"/>
        </w:rPr>
      </w:pPr>
      <w:r w:rsidRPr="006E77D4">
        <w:rPr>
          <w:rFonts w:ascii="Times New Roman" w:hAnsi="Times New Roman" w:cs="Times New Roman"/>
          <w:b/>
          <w:bCs/>
          <w:sz w:val="24"/>
          <w:szCs w:val="24"/>
          <w:lang w:val="en-US"/>
        </w:rPr>
        <w:t>OVERVIEW</w:t>
      </w:r>
    </w:p>
    <w:p w14:paraId="3A2D1A7A" w14:textId="77777777" w:rsidR="009E1558" w:rsidRPr="006E77D4" w:rsidRDefault="00FF20A0" w:rsidP="009E1558">
      <w:pPr>
        <w:spacing w:line="240" w:lineRule="auto"/>
        <w:jc w:val="left"/>
        <w:rPr>
          <w:rFonts w:ascii="Times New Roman" w:eastAsia="Times New Roman" w:hAnsi="Times New Roman" w:cs="Times New Roman"/>
          <w:sz w:val="24"/>
          <w:szCs w:val="24"/>
          <w:lang w:val="en-US"/>
        </w:rPr>
      </w:pPr>
      <w:hyperlink r:id="rId10" w:tgtFrame="_blank" w:tooltip="Title 2 U.S. Code of Federal Regulations Part 200" w:history="1">
        <w:r w:rsidR="009E1558" w:rsidRPr="006E77D4">
          <w:rPr>
            <w:rStyle w:val="Hyperlink"/>
            <w:rFonts w:ascii="Times New Roman" w:eastAsia="Times New Roman" w:hAnsi="Times New Roman" w:cs="Times New Roman"/>
            <w:sz w:val="24"/>
            <w:szCs w:val="24"/>
            <w:lang w:val="en-US"/>
          </w:rPr>
          <w:t>Title 2 U.S. Code of Federal Regulations Part 200</w:t>
        </w:r>
      </w:hyperlink>
      <w:r w:rsidR="009E1558" w:rsidRPr="006E77D4">
        <w:rPr>
          <w:rFonts w:ascii="Times New Roman" w:eastAsia="Times New Roman" w:hAnsi="Times New Roman" w:cs="Times New Roman"/>
          <w:sz w:val="24"/>
          <w:szCs w:val="24"/>
          <w:lang w:val="en-US"/>
        </w:rPr>
        <w:t xml:space="preserve">, Uniform Administrative Requirements, Cost Principles, and Audit Requirements for Federal Awards, commonly called Uniform Guidance (UG), specifically Subpart E, defines those items of cost that are allowable, and which are unallowable. The tests of allowability under these principles are: (a) the costs must be reasonable; (b) they must be allocable to eligible projects under the </w:t>
      </w:r>
      <w:r w:rsidR="009E1558" w:rsidRPr="006E77D4">
        <w:rPr>
          <w:rFonts w:ascii="Times New Roman" w:hAnsi="Times New Roman" w:cs="Times New Roman"/>
          <w:sz w:val="24"/>
          <w:szCs w:val="24"/>
        </w:rPr>
        <w:t>Coronavirus State and Local Fiscal Recovery Funds of H.R. 1319 American Rescue Plan Act of 2021 (ARP/CSLFRF)</w:t>
      </w:r>
      <w:r w:rsidR="009E1558" w:rsidRPr="006E77D4">
        <w:rPr>
          <w:rFonts w:ascii="Times New Roman" w:eastAsia="Times New Roman" w:hAnsi="Times New Roman" w:cs="Times New Roman"/>
          <w:sz w:val="24"/>
          <w:szCs w:val="24"/>
          <w:lang w:val="en-US"/>
        </w:rPr>
        <w:t xml:space="preserve">; (c) </w:t>
      </w:r>
      <w:r w:rsidR="009E1558" w:rsidRPr="006E77D4">
        <w:rPr>
          <w:rFonts w:ascii="Times New Roman" w:eastAsia="Times New Roman" w:hAnsi="Times New Roman" w:cs="Times New Roman"/>
          <w:sz w:val="24"/>
          <w:szCs w:val="24"/>
          <w:lang w:val="en-US"/>
        </w:rPr>
        <w:lastRenderedPageBreak/>
        <w:t>they must be given consistent treatment through application of those generally accepted accounting principles appropriate to the circumstances; and (d) they must conform to any limitations or exclusions set forth in these principles or in the ARP/CSLFRF grant award as to types or amounts of cost items. Unallowable items fall into two categories: expenses which are by their nature unallowable (e.g., alcohol), and unallowable activities (e.g., fund raising).</w:t>
      </w:r>
    </w:p>
    <w:p w14:paraId="6F5D9B20" w14:textId="1FC644E5"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shall adhere to all applicable cost principles governing the use of federal grants. This policy addresses the proper classification of both direct and indirect charges to ARP/CSLFRF funded projects and enacts procedures to ensure that proposed and actual expenditures are consistent with the ARP/CSLFRF grant award terms and all applicable federal regulations in the UG. </w:t>
      </w:r>
    </w:p>
    <w:p w14:paraId="75150E89"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lang w:val="en-US"/>
        </w:rPr>
        <w:t xml:space="preserve">Responsibility for following these guidelines lies with [LIST APPROPRIATE LOCAL GOVERNMENT OFFICIALS AND EMPLOYEE POSITION TITLES HERE], who are charged with the administration and financial oversight of the ARP/CSLFRF. Further, all local government </w:t>
      </w:r>
      <w:r w:rsidRPr="006E77D4">
        <w:rPr>
          <w:rFonts w:ascii="Times New Roman" w:eastAsia="Times New Roman" w:hAnsi="Times New Roman" w:cs="Times New Roman"/>
          <w:sz w:val="24"/>
          <w:szCs w:val="24"/>
        </w:rPr>
        <w:t xml:space="preserve">employees and officials who are involved in obligating, administering, expending, or monitoring ARP/CSLFRF grant funded projects should be well versed with the categories of costs that are generally allowable and unallowable. </w:t>
      </w:r>
      <w:r w:rsidRPr="006E77D4">
        <w:rPr>
          <w:rFonts w:ascii="Times New Roman" w:eastAsia="Times New Roman" w:hAnsi="Times New Roman" w:cs="Times New Roman"/>
          <w:sz w:val="24"/>
          <w:szCs w:val="24"/>
          <w:lang w:val="en-US"/>
        </w:rPr>
        <w:t>Questions on the allowability of costs should be directed to [LIST APPROPRIATE LOCAL GOVERNMENT DEPARTMENT OR POSITION HERE]. As questions on allowability of certain costs may require interpretation and judgment, local government personnel are encouraged to ask for assistance in making those determinations.</w:t>
      </w:r>
    </w:p>
    <w:p w14:paraId="43DB9DF9" w14:textId="77777777" w:rsidR="009E1558" w:rsidRPr="006E77D4" w:rsidRDefault="009E1558" w:rsidP="009E1558">
      <w:pPr>
        <w:pStyle w:val="Heading4"/>
        <w:rPr>
          <w:rFonts w:ascii="Times New Roman" w:eastAsia="Times New Roman" w:hAnsi="Times New Roman" w:cs="Times New Roman"/>
          <w:b/>
          <w:bCs/>
          <w:sz w:val="24"/>
          <w:szCs w:val="24"/>
        </w:rPr>
      </w:pPr>
      <w:r w:rsidRPr="006E77D4">
        <w:rPr>
          <w:rFonts w:ascii="Times New Roman" w:hAnsi="Times New Roman" w:cs="Times New Roman"/>
          <w:b/>
          <w:bCs/>
          <w:sz w:val="24"/>
          <w:szCs w:val="24"/>
        </w:rPr>
        <w:t>GENERAL COST ALLOWABILITY CRITERIA</w:t>
      </w:r>
    </w:p>
    <w:p w14:paraId="5B482B34"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All costs expended using ARP/CSLFRF funds must meet the following general criteria:</w:t>
      </w:r>
    </w:p>
    <w:p w14:paraId="7AAE4A3F" w14:textId="77777777" w:rsidR="009E1558" w:rsidRPr="006E77D4" w:rsidRDefault="009E1558" w:rsidP="009E1558">
      <w:pPr>
        <w:pStyle w:val="ListParagraph"/>
        <w:numPr>
          <w:ilvl w:val="0"/>
          <w:numId w:val="4"/>
        </w:numPr>
        <w:spacing w:line="240" w:lineRule="auto"/>
        <w:jc w:val="left"/>
        <w:rPr>
          <w:rFonts w:ascii="Times New Roman" w:hAnsi="Times New Roman" w:cs="Times New Roman"/>
          <w:sz w:val="24"/>
          <w:szCs w:val="24"/>
        </w:rPr>
      </w:pPr>
      <w:r w:rsidRPr="006E77D4">
        <w:rPr>
          <w:rFonts w:ascii="Times New Roman" w:eastAsia="Times New Roman" w:hAnsi="Times New Roman" w:cs="Times New Roman"/>
          <w:b/>
          <w:sz w:val="24"/>
          <w:szCs w:val="24"/>
        </w:rPr>
        <w:t xml:space="preserve">Be necessary and reasonable for the proper and efficient performance and administration of the grant program. </w:t>
      </w:r>
    </w:p>
    <w:p w14:paraId="0B63435C" w14:textId="77777777" w:rsidR="009E1558" w:rsidRPr="006E77D4" w:rsidRDefault="009E1558" w:rsidP="009E1558">
      <w:pPr>
        <w:spacing w:line="240" w:lineRule="auto"/>
        <w:ind w:left="720"/>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 cost must be </w:t>
      </w:r>
      <w:r w:rsidRPr="006E77D4">
        <w:rPr>
          <w:rFonts w:ascii="Times New Roman" w:eastAsia="Times New Roman" w:hAnsi="Times New Roman" w:cs="Times New Roman"/>
          <w:i/>
          <w:iCs/>
          <w:sz w:val="24"/>
          <w:szCs w:val="24"/>
        </w:rPr>
        <w:t>necessary</w:t>
      </w:r>
      <w:r w:rsidRPr="006E77D4">
        <w:rPr>
          <w:rFonts w:ascii="Times New Roman" w:eastAsia="Times New Roman" w:hAnsi="Times New Roman" w:cs="Times New Roman"/>
          <w:sz w:val="24"/>
          <w:szCs w:val="24"/>
        </w:rPr>
        <w:t xml:space="preserve"> to achieve a project object. When determining whether a cost is necessary, consideration may be given to:</w:t>
      </w:r>
    </w:p>
    <w:p w14:paraId="7A1BC642"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needed for the proper and efficient performance of the grant project.</w:t>
      </w:r>
    </w:p>
    <w:p w14:paraId="1691C7C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identified in the approved project budget or application.</w:t>
      </w:r>
    </w:p>
    <w:p w14:paraId="71A9725B"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aligns with identified needs based on results and findings from a needs assessment.</w:t>
      </w:r>
    </w:p>
    <w:p w14:paraId="0C950A31"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the cost addresses project goals and objectives and is based on program data. </w:t>
      </w:r>
    </w:p>
    <w:p w14:paraId="4CB4BA77" w14:textId="77777777" w:rsidR="009E1558" w:rsidRPr="006E77D4" w:rsidRDefault="009E1558" w:rsidP="009E1558">
      <w:pPr>
        <w:pStyle w:val="ListParagraph"/>
        <w:spacing w:line="240" w:lineRule="auto"/>
        <w:jc w:val="left"/>
        <w:rPr>
          <w:rFonts w:ascii="Times New Roman" w:hAnsi="Times New Roman" w:cs="Times New Roman"/>
          <w:sz w:val="24"/>
          <w:szCs w:val="24"/>
        </w:rPr>
      </w:pPr>
      <w:r w:rsidRPr="006E77D4">
        <w:rPr>
          <w:rFonts w:ascii="Times New Roman" w:eastAsia="Times New Roman" w:hAnsi="Times New Roman" w:cs="Times New Roman"/>
          <w:sz w:val="24"/>
          <w:szCs w:val="24"/>
        </w:rPr>
        <w:t xml:space="preserve">A cost is </w:t>
      </w:r>
      <w:r w:rsidRPr="006E77D4">
        <w:rPr>
          <w:rFonts w:ascii="Times New Roman" w:eastAsia="Times New Roman" w:hAnsi="Times New Roman" w:cs="Times New Roman"/>
          <w:i/>
          <w:iCs/>
          <w:sz w:val="24"/>
          <w:szCs w:val="24"/>
        </w:rPr>
        <w:t xml:space="preserve">reasonable </w:t>
      </w:r>
      <w:r w:rsidRPr="006E77D4">
        <w:rPr>
          <w:rFonts w:ascii="Times New Roman" w:eastAsia="Times New Roman" w:hAnsi="Times New Roman" w:cs="Times New Roman"/>
          <w:sz w:val="24"/>
          <w:szCs w:val="24"/>
        </w:rPr>
        <w:t>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When determining reasonableness of a cost, consideration must be given to:</w:t>
      </w:r>
    </w:p>
    <w:p w14:paraId="4C6237B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lastRenderedPageBreak/>
        <w:t xml:space="preserve">Whether the cost is a type generally recognized as ordinary and necessary for the operation of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or the proper and efficient performance of the federal award.</w:t>
      </w:r>
    </w:p>
    <w:p w14:paraId="6EFFD160"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The restraints or requirements imposed by factors, such as: sound business practices; arm’s-length bargaining; federal, state, and other laws and regulations; and terms and conditions of the ARP/CSLFRF award.</w:t>
      </w:r>
    </w:p>
    <w:p w14:paraId="671039AC"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Market prices for comparable goods or services for the geographic area.</w:t>
      </w:r>
    </w:p>
    <w:p w14:paraId="7481679A"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individuals concerned acted with prudence in the circumstances considering their responsibilities to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its employees, the public at large, and the federal government.</w:t>
      </w:r>
    </w:p>
    <w:p w14:paraId="23708345"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significantly deviates from its established practices and policies regarding the incurrence of costs, which may unjustifiably increase the ARP/CSLFRF award’s cost.</w:t>
      </w:r>
    </w:p>
    <w:p w14:paraId="2E68BF84" w14:textId="77777777" w:rsidR="009E1558" w:rsidRPr="006E77D4" w:rsidRDefault="009E1558" w:rsidP="009E1558">
      <w:pPr>
        <w:pStyle w:val="ListParagraph"/>
        <w:numPr>
          <w:ilvl w:val="0"/>
          <w:numId w:val="4"/>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b/>
          <w:sz w:val="24"/>
          <w:szCs w:val="24"/>
        </w:rPr>
        <w:t xml:space="preserve">Be allocable to the ARP/CSLFRF federal award. </w:t>
      </w:r>
      <w:r w:rsidRPr="006E77D4">
        <w:rPr>
          <w:rFonts w:ascii="Times New Roman" w:eastAsia="Times New Roman" w:hAnsi="Times New Roman" w:cs="Times New Roman"/>
          <w:sz w:val="24"/>
          <w:szCs w:val="24"/>
        </w:rPr>
        <w:t xml:space="preserve">A cost is allocable to the ARP/CSLFRF award if the goods or services involved are chargeable or assignable to the ARP/CSLFRF award in accordance with the relative benefit received. This means that the ARP/CSLFRF grant program derived a benefit in proportion to the funds charged to the program. </w:t>
      </w:r>
      <w:r w:rsidRPr="006E77D4">
        <w:rPr>
          <w:rFonts w:ascii="Times New Roman" w:eastAsia="Times New Roman" w:hAnsi="Times New Roman" w:cs="Times New Roman"/>
          <w:i/>
          <w:iCs/>
          <w:sz w:val="24"/>
          <w:szCs w:val="24"/>
        </w:rPr>
        <w:t>For example, if 50 percent of a local government program officer’s salary is paid with grant funds, then the local government must document that the program officer spent at least 50 percent of his/her time on the grant program.</w:t>
      </w:r>
    </w:p>
    <w:p w14:paraId="0387EF71"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lang w:val="en-US"/>
        </w:rPr>
      </w:pPr>
    </w:p>
    <w:p w14:paraId="4D3B4C6C" w14:textId="4A31EC00" w:rsidR="009E1558" w:rsidRPr="00591996" w:rsidRDefault="009E1558" w:rsidP="00591996">
      <w:pPr>
        <w:pStyle w:val="ListParagraph"/>
        <w:spacing w:line="240" w:lineRule="auto"/>
        <w:jc w:val="left"/>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the costs may be allocated or transferred to benefitted projects on any reasonable documented basis. Where the purchase of equipment or other capital asset is specifically authorized by the ARP/CSLFRF, the costs are assignable to the Federal award regardless of the use that may be made of the equipment or other capital asset involved when no longer needed for the purpose for which it was originally required. </w:t>
      </w:r>
    </w:p>
    <w:p w14:paraId="76EFA1C6"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Be authorized and not prohibited under state or local laws or regulations.</w:t>
      </w:r>
    </w:p>
    <w:p w14:paraId="621E2143"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Conform to any limitations or exclusions set forth in the principles, federal laws, ARP/CSLFRF award terms, and other governing regulations as to types or amounts of cost items.</w:t>
      </w:r>
    </w:p>
    <w:p w14:paraId="38EEFC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 xml:space="preserve">Be consistent with policies, regulations, and procedures that apply uniformly to both the ARP/CSLFRF federal award and other activities of </w:t>
      </w:r>
      <w:r w:rsidRPr="006E77D4">
        <w:rPr>
          <w:rFonts w:ascii="Times New Roman" w:eastAsia="Times New Roman" w:hAnsi="Times New Roman" w:cs="Times New Roman"/>
          <w:b/>
          <w:sz w:val="24"/>
          <w:szCs w:val="24"/>
          <w:u w:val="single"/>
        </w:rPr>
        <w:t>[LOCAL GOVERNMENT NAME]</w:t>
      </w:r>
      <w:r w:rsidRPr="006E77D4">
        <w:rPr>
          <w:rFonts w:ascii="Times New Roman" w:eastAsia="Times New Roman" w:hAnsi="Times New Roman" w:cs="Times New Roman"/>
          <w:b/>
          <w:sz w:val="24"/>
          <w:szCs w:val="24"/>
        </w:rPr>
        <w:t xml:space="preserve">. </w:t>
      </w:r>
    </w:p>
    <w:p w14:paraId="436343CA" w14:textId="77777777"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accorded consistent treatment. </w:t>
      </w:r>
      <w:r w:rsidRPr="006E77D4">
        <w:rPr>
          <w:rFonts w:ascii="Times New Roman" w:eastAsia="Times New Roman" w:hAnsi="Times New Roman" w:cs="Times New Roman"/>
          <w:sz w:val="24"/>
          <w:szCs w:val="24"/>
        </w:rPr>
        <w:t xml:space="preserve">A cost MAY NOT be assigned to a federal award as a direct cost </w:t>
      </w:r>
      <w:proofErr w:type="gramStart"/>
      <w:r w:rsidRPr="006E77D4">
        <w:rPr>
          <w:rFonts w:ascii="Times New Roman" w:eastAsia="Times New Roman" w:hAnsi="Times New Roman" w:cs="Times New Roman"/>
          <w:sz w:val="24"/>
          <w:szCs w:val="24"/>
        </w:rPr>
        <w:t>and also</w:t>
      </w:r>
      <w:proofErr w:type="gramEnd"/>
      <w:r w:rsidRPr="006E77D4">
        <w:rPr>
          <w:rFonts w:ascii="Times New Roman" w:eastAsia="Times New Roman" w:hAnsi="Times New Roman" w:cs="Times New Roman"/>
          <w:sz w:val="24"/>
          <w:szCs w:val="24"/>
        </w:rPr>
        <w:t xml:space="preserve"> be charged to a federal award as an indirect cost. And a cost must be treated consistently for both federal award and non-federal award expenditures. </w:t>
      </w:r>
    </w:p>
    <w:p w14:paraId="522C87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lastRenderedPageBreak/>
        <w:t xml:space="preserve">Be determined in accordance with generally accepted accounting principles (GAAP), unless provided otherwise in the UGG. </w:t>
      </w:r>
    </w:p>
    <w:p w14:paraId="1160DC1F" w14:textId="77777777"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net of all applicable credits. </w:t>
      </w:r>
      <w:r w:rsidRPr="006E77D4">
        <w:rPr>
          <w:rFonts w:ascii="Times New Roman" w:eastAsia="Times New Roman" w:hAnsi="Times New Roman" w:cs="Times New Roman"/>
          <w:sz w:val="24"/>
          <w:szCs w:val="24"/>
        </w:rP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and received by the local government related to the federal award, they shall be credited to the ARP/CSLFRF award, either as a cost reduction or a cash refund, as appropriate and consistent with the award terms. [NOTE THAT A LOCAL GOVERNMENT SHOULD ADD A REFERENCE TO ITS PROGRAM INCOME POLICY HERE, WHEN THAT POLICY IS IMPLEMENTED. AS OF DECEMBER 2021, WE ARE STILL AWAITING FINAL GUIDANCE FROM US TREASURY ON HOW TO TREAT PROGRAM INCOME.]</w:t>
      </w:r>
    </w:p>
    <w:p w14:paraId="4BE93F0B"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Be adequately documented.</w:t>
      </w:r>
    </w:p>
    <w:p w14:paraId="4E246229" w14:textId="2F112FA1"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SELECTED ITEMS OF COST</w:t>
      </w:r>
      <w:r w:rsidR="000A367F">
        <w:rPr>
          <w:rFonts w:ascii="Times New Roman" w:hAnsi="Times New Roman" w:cs="Times New Roman"/>
          <w:b/>
          <w:bCs/>
          <w:sz w:val="24"/>
          <w:szCs w:val="24"/>
        </w:rPr>
        <w:t xml:space="preserve"> </w:t>
      </w:r>
      <w:r w:rsidR="000A367F" w:rsidRPr="000A367F">
        <w:rPr>
          <w:rFonts w:ascii="Times New Roman" w:hAnsi="Times New Roman" w:cs="Times New Roman"/>
          <w:b/>
          <w:bCs/>
          <w:color w:val="FF0000"/>
          <w:sz w:val="24"/>
          <w:szCs w:val="24"/>
        </w:rPr>
        <w:t>[</w:t>
      </w:r>
      <w:r w:rsidR="000A367F">
        <w:rPr>
          <w:rFonts w:ascii="Times New Roman" w:hAnsi="Times New Roman" w:cs="Times New Roman"/>
          <w:b/>
          <w:bCs/>
          <w:color w:val="FF0000"/>
          <w:sz w:val="24"/>
          <w:szCs w:val="24"/>
        </w:rPr>
        <w:t>Drafter’s Note:</w:t>
      </w:r>
      <w:r w:rsidR="000A367F" w:rsidRPr="000A367F">
        <w:rPr>
          <w:rFonts w:ascii="Times New Roman" w:hAnsi="Times New Roman" w:cs="Times New Roman"/>
          <w:b/>
          <w:bCs/>
          <w:color w:val="FF0000"/>
          <w:sz w:val="24"/>
          <w:szCs w:val="24"/>
        </w:rPr>
        <w:t xml:space="preserve"> This section does not apply to expenditures in the revenue replacement category.</w:t>
      </w:r>
      <w:r w:rsidR="004C0DFE">
        <w:rPr>
          <w:rFonts w:ascii="Times New Roman" w:hAnsi="Times New Roman" w:cs="Times New Roman"/>
          <w:b/>
          <w:bCs/>
          <w:color w:val="FF0000"/>
          <w:sz w:val="24"/>
          <w:szCs w:val="24"/>
        </w:rPr>
        <w:t xml:space="preserve"> </w:t>
      </w:r>
      <w:r w:rsidR="004C0DFE" w:rsidRPr="004C0DFE">
        <w:rPr>
          <w:rFonts w:ascii="Times New Roman" w:hAnsi="Times New Roman" w:cs="Times New Roman"/>
          <w:b/>
          <w:bCs/>
          <w:i/>
          <w:iCs/>
          <w:color w:val="FF0000"/>
          <w:sz w:val="24"/>
          <w:szCs w:val="24"/>
        </w:rPr>
        <w:t>See</w:t>
      </w:r>
      <w:r w:rsidR="004C0DFE">
        <w:rPr>
          <w:rFonts w:ascii="Times New Roman" w:hAnsi="Times New Roman" w:cs="Times New Roman"/>
          <w:b/>
          <w:bCs/>
          <w:color w:val="FF0000"/>
          <w:sz w:val="24"/>
          <w:szCs w:val="24"/>
        </w:rPr>
        <w:t xml:space="preserve"> </w:t>
      </w:r>
      <w:hyperlink r:id="rId11" w:history="1">
        <w:r w:rsidR="004C0DFE" w:rsidRPr="004C0DFE">
          <w:rPr>
            <w:rStyle w:val="Hyperlink"/>
            <w:rFonts w:ascii="Times New Roman" w:hAnsi="Times New Roman" w:cs="Times New Roman"/>
            <w:b/>
            <w:bCs/>
            <w:sz w:val="24"/>
            <w:szCs w:val="24"/>
          </w:rPr>
          <w:t>US Treasury FAQ 13.15</w:t>
        </w:r>
      </w:hyperlink>
      <w:r w:rsidR="004C0DFE">
        <w:rPr>
          <w:rFonts w:ascii="Times New Roman" w:hAnsi="Times New Roman" w:cs="Times New Roman"/>
          <w:b/>
          <w:bCs/>
          <w:color w:val="FF0000"/>
          <w:sz w:val="24"/>
          <w:szCs w:val="24"/>
        </w:rPr>
        <w:t>.</w:t>
      </w:r>
      <w:r w:rsidR="000A367F" w:rsidRPr="000A367F">
        <w:rPr>
          <w:rFonts w:ascii="Times New Roman" w:hAnsi="Times New Roman" w:cs="Times New Roman"/>
          <w:b/>
          <w:bCs/>
          <w:color w:val="FF0000"/>
          <w:sz w:val="24"/>
          <w:szCs w:val="24"/>
        </w:rPr>
        <w:t>]</w:t>
      </w:r>
    </w:p>
    <w:p w14:paraId="64D69E93"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UGG examines the allowability of fifty-five (55) specific cost items (commonly referred to as Selected Items of Cost) at 2 CFR </w:t>
      </w:r>
      <w:r w:rsidRPr="006E77D4">
        <w:rPr>
          <w:rFonts w:ascii="Times New Roman" w:eastAsia="Times" w:hAnsi="Times New Roman" w:cs="Times New Roman"/>
          <w:sz w:val="24"/>
          <w:szCs w:val="24"/>
        </w:rPr>
        <w:t xml:space="preserve">§ </w:t>
      </w:r>
      <w:r w:rsidRPr="006E77D4">
        <w:rPr>
          <w:rFonts w:ascii="Times New Roman" w:eastAsia="Times New Roman" w:hAnsi="Times New Roman" w:cs="Times New Roman"/>
          <w:sz w:val="24"/>
          <w:szCs w:val="24"/>
        </w:rPr>
        <w:t xml:space="preserve">200.420-.475. </w:t>
      </w:r>
    </w:p>
    <w:p w14:paraId="188E6BE2"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[DEPARTMENT OR POSITION(S)]</w:t>
      </w:r>
      <w:r w:rsidRPr="006E77D4">
        <w:rPr>
          <w:rFonts w:ascii="Times New Roman" w:eastAsia="Times New Roman" w:hAnsi="Times New Roman" w:cs="Times New Roman"/>
          <w:sz w:val="24"/>
          <w:szCs w:val="24"/>
        </w:rPr>
        <w:t xml:space="preserve"> responsible for determining cost allowability must be familiar with the Selected Items of Cost.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must follow the applicable regulations when charging these specific expenditures to the ARP/CSLFRF grant. </w:t>
      </w:r>
      <w:r w:rsidRPr="006E77D4">
        <w:rPr>
          <w:rFonts w:ascii="Times New Roman" w:eastAsia="Times New Roman" w:hAnsi="Times New Roman" w:cs="Times New Roman"/>
          <w:sz w:val="24"/>
          <w:szCs w:val="24"/>
          <w:u w:val="single"/>
        </w:rPr>
        <w:t xml:space="preserve">[DEPARTMENT OR POSITION(S)] </w:t>
      </w:r>
      <w:r w:rsidRPr="006E77D4">
        <w:rPr>
          <w:rFonts w:ascii="Times New Roman" w:eastAsia="Times New Roman" w:hAnsi="Times New Roman" w:cs="Times New Roman"/>
          <w:sz w:val="24"/>
          <w:szCs w:val="24"/>
        </w:rPr>
        <w:t>personnel will check costs against the selected items of cost requirements to ensure the cost is allowable and that all process and documentation requirements are followed. In addition, State laws, [</w:t>
      </w:r>
      <w:r w:rsidRPr="006E77D4">
        <w:rPr>
          <w:rFonts w:ascii="Times New Roman" w:eastAsia="Times New Roman" w:hAnsi="Times New Roman" w:cs="Times New Roman"/>
          <w:sz w:val="24"/>
          <w:szCs w:val="24"/>
          <w:u w:val="single"/>
        </w:rPr>
        <w:t>LOCAL GOVERNMENT NAME] regulations</w:t>
      </w:r>
      <w:r w:rsidRPr="006E77D4">
        <w:rPr>
          <w:rFonts w:ascii="Times New Roman" w:eastAsia="Times New Roman" w:hAnsi="Times New Roman" w:cs="Times New Roman"/>
          <w:sz w:val="24"/>
          <w:szCs w:val="24"/>
        </w:rPr>
        <w:t xml:space="preserve">, and program-specific rules may deem a cost as unallowable, and [DEPARTMENT OR POSITION(S)] personnel must follow those non-federal rules as well. </w:t>
      </w:r>
    </w:p>
    <w:p w14:paraId="2ACD87F5"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Exhibit A identifies and summarizes the Selected Items of Cost.</w:t>
      </w:r>
    </w:p>
    <w:p w14:paraId="29E58717"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DIRECT AND INDIRECT COSTS</w:t>
      </w:r>
    </w:p>
    <w:p w14:paraId="657C42F6"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Allowable and allocable costs must be appropriately classified as direct or indirect charges. It is essential that each item of cost be treated consistently in like circumstances either as a direct or an indirect cost. </w:t>
      </w:r>
    </w:p>
    <w:p w14:paraId="6B21CDC0"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Direct costs</w:t>
      </w:r>
      <w:r w:rsidRPr="006E77D4">
        <w:rPr>
          <w:rFonts w:ascii="Times New Roman" w:eastAsia="Times New Roman" w:hAnsi="Times New Roman" w:cs="Times New Roman"/>
          <w:sz w:val="24"/>
          <w:szCs w:val="24"/>
        </w:rPr>
        <w:t xml:space="preserve"> are expenses that are specifically associated with a particular ARP/CSLFRF-eligible project and that can be directly assigned to such activities relatively easily with a high degree of accuracy. Common examples of direct costs include salary and fringe benefits of personnel directly involved in undertaking an eligible project, equipment and supplies for the project, subcontracted service provider, or other materials consumed or expended in the performance of a grant-eligible project.  </w:t>
      </w:r>
    </w:p>
    <w:p w14:paraId="0ADF3EA8"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Indirect costs</w:t>
      </w:r>
      <w:r w:rsidRPr="006E77D4">
        <w:rPr>
          <w:rFonts w:ascii="Times New Roman" w:eastAsia="Times New Roman" w:hAnsi="Times New Roman" w:cs="Times New Roman"/>
          <w:sz w:val="24"/>
          <w:szCs w:val="24"/>
        </w:rPr>
        <w:t xml:space="preserve"> are (1) costs incurred for a common or joint purpose benefitting more than one ARP/CSLFRF-eligible project, and (2) not readily assignable to the project specifically benefited, without effort disproportionate to the results achieved. They are expenses that benefit more than one project or even more than one federal grant. Common examples of indirect costs </w:t>
      </w:r>
      <w:r w:rsidRPr="006E77D4">
        <w:rPr>
          <w:rFonts w:ascii="Times New Roman" w:eastAsia="Times New Roman" w:hAnsi="Times New Roman" w:cs="Times New Roman"/>
          <w:sz w:val="24"/>
          <w:szCs w:val="24"/>
        </w:rPr>
        <w:lastRenderedPageBreak/>
        <w:t xml:space="preserve">include utilities, local telephone charges, shared office supplies, administrative or secretarial salaries. </w:t>
      </w:r>
    </w:p>
    <w:p w14:paraId="317368E8" w14:textId="77777777" w:rsidR="009E1558" w:rsidRPr="006E77D4" w:rsidRDefault="009E1558" w:rsidP="009E1558">
      <w:pPr>
        <w:spacing w:line="240" w:lineRule="auto"/>
        <w:jc w:val="left"/>
        <w:rPr>
          <w:rFonts w:ascii="Times New Roman" w:eastAsia="Times New Roman" w:hAnsi="Times New Roman" w:cs="Times New Roman"/>
          <w:b/>
          <w:bCs/>
          <w:i/>
          <w:iCs/>
          <w:sz w:val="24"/>
          <w:szCs w:val="24"/>
          <w:lang w:val="en-US"/>
        </w:rPr>
      </w:pPr>
      <w:r w:rsidRPr="006E77D4">
        <w:rPr>
          <w:rFonts w:ascii="Times New Roman" w:eastAsia="Times New Roman" w:hAnsi="Times New Roman" w:cs="Times New Roman"/>
          <w:sz w:val="24"/>
          <w:szCs w:val="24"/>
        </w:rPr>
        <w:t xml:space="preserve">For indirect costs,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may charge a 10 percent de minimis rate of modified total direct costs (MTDC). According to UGG </w:t>
      </w:r>
      <w:r w:rsidRPr="006E77D4">
        <w:rPr>
          <w:rFonts w:ascii="Times New Roman" w:eastAsia="Times New Roman" w:hAnsi="Times New Roman" w:cs="Times New Roman"/>
          <w:sz w:val="24"/>
          <w:szCs w:val="24"/>
          <w:lang w:val="en-US"/>
        </w:rPr>
        <w:t>Section 200.68</w:t>
      </w:r>
      <w:r w:rsidRPr="006E77D4">
        <w:rPr>
          <w:rFonts w:ascii="Times New Roman" w:eastAsia="Times New Roman" w:hAnsi="Times New Roman" w:cs="Times New Roman"/>
          <w:b/>
          <w:bCs/>
          <w:sz w:val="24"/>
          <w:szCs w:val="24"/>
          <w:lang w:val="en-US"/>
        </w:rPr>
        <w:t xml:space="preserve"> </w:t>
      </w:r>
      <w:r w:rsidRPr="006E77D4">
        <w:rPr>
          <w:rFonts w:ascii="Times New Roman" w:eastAsia="Times New Roman" w:hAnsi="Times New Roman" w:cs="Times New Roman"/>
          <w:sz w:val="24"/>
          <w:szCs w:val="24"/>
          <w:lang w:val="en-US"/>
        </w:rPr>
        <w:t xml:space="preserve">MTDC means all direct salaries and wages, applicable fringe benefits, materials and supplies, services, travel, and up to the first $25,000 of each </w:t>
      </w:r>
      <w:proofErr w:type="gramStart"/>
      <w:r w:rsidRPr="006E77D4">
        <w:rPr>
          <w:rFonts w:ascii="Times New Roman" w:eastAsia="Times New Roman" w:hAnsi="Times New Roman" w:cs="Times New Roman"/>
          <w:sz w:val="24"/>
          <w:szCs w:val="24"/>
          <w:lang w:val="en-US"/>
        </w:rPr>
        <w:t>subaward  (</w:t>
      </w:r>
      <w:proofErr w:type="gramEnd"/>
      <w:r w:rsidRPr="006E77D4">
        <w:rPr>
          <w:rFonts w:ascii="Times New Roman" w:eastAsia="Times New Roman" w:hAnsi="Times New Roman" w:cs="Times New Roman"/>
          <w:sz w:val="24"/>
          <w:szCs w:val="24"/>
          <w:lang w:val="en-US"/>
        </w:rPr>
        <w:t>regardless of the period of performance the subawards under the award). MTDC EXCLUDES equipment, capital expenditures, charges for patient care, rental costs, tuition remission, scholarships and fellowships, participant support costs and the portion of each subaward </w:t>
      </w:r>
      <w:proofErr w:type="gramStart"/>
      <w:r w:rsidRPr="006E77D4">
        <w:rPr>
          <w:rFonts w:ascii="Times New Roman" w:eastAsia="Times New Roman" w:hAnsi="Times New Roman" w:cs="Times New Roman"/>
          <w:sz w:val="24"/>
          <w:szCs w:val="24"/>
          <w:lang w:val="en-US"/>
        </w:rPr>
        <w:t>in excess of</w:t>
      </w:r>
      <w:proofErr w:type="gramEnd"/>
      <w:r w:rsidRPr="006E77D4">
        <w:rPr>
          <w:rFonts w:ascii="Times New Roman" w:eastAsia="Times New Roman" w:hAnsi="Times New Roman" w:cs="Times New Roman"/>
          <w:sz w:val="24"/>
          <w:szCs w:val="24"/>
          <w:lang w:val="en-US"/>
        </w:rPr>
        <w:t xml:space="preserve"> $25,000.</w:t>
      </w:r>
      <w:r w:rsidRPr="006E77D4">
        <w:rPr>
          <w:rFonts w:ascii="Times New Roman" w:eastAsia="Times New Roman" w:hAnsi="Times New Roman" w:cs="Times New Roman"/>
          <w:i/>
          <w:iCs/>
          <w:sz w:val="24"/>
          <w:szCs w:val="24"/>
          <w:lang w:val="en-US"/>
        </w:rPr>
        <w:t xml:space="preserve"> </w:t>
      </w:r>
    </w:p>
    <w:p w14:paraId="338C56C3" w14:textId="14881A96" w:rsidR="009E1558" w:rsidRPr="006E77D4" w:rsidRDefault="009E1558" w:rsidP="009E1558">
      <w:pPr>
        <w:spacing w:after="0"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color w:val="FF0000"/>
          <w:sz w:val="24"/>
          <w:szCs w:val="24"/>
        </w:rPr>
        <w:t>[</w:t>
      </w:r>
      <w:r w:rsidR="00FC733F">
        <w:rPr>
          <w:rFonts w:ascii="Times New Roman" w:eastAsia="Times New Roman" w:hAnsi="Times New Roman" w:cs="Times New Roman"/>
          <w:color w:val="FF0000"/>
          <w:sz w:val="24"/>
          <w:szCs w:val="24"/>
        </w:rPr>
        <w:t xml:space="preserve">Drafter’s </w:t>
      </w:r>
      <w:r w:rsidRPr="006E77D4">
        <w:rPr>
          <w:rFonts w:ascii="Times New Roman" w:eastAsia="Times New Roman" w:hAnsi="Times New Roman" w:cs="Times New Roman"/>
          <w:color w:val="FF0000"/>
          <w:sz w:val="24"/>
          <w:szCs w:val="24"/>
        </w:rPr>
        <w:t>Note</w:t>
      </w:r>
      <w:r w:rsidR="00FC733F">
        <w:rPr>
          <w:rFonts w:ascii="Times New Roman" w:eastAsia="Times New Roman" w:hAnsi="Times New Roman" w:cs="Times New Roman"/>
          <w:color w:val="FF0000"/>
          <w:sz w:val="24"/>
          <w:szCs w:val="24"/>
        </w:rPr>
        <w:t>:</w:t>
      </w:r>
      <w:r w:rsidRPr="006E77D4">
        <w:rPr>
          <w:rFonts w:ascii="Times New Roman" w:eastAsia="Times New Roman" w:hAnsi="Times New Roman" w:cs="Times New Roman"/>
          <w:color w:val="FF0000"/>
          <w:sz w:val="24"/>
          <w:szCs w:val="24"/>
        </w:rPr>
        <w:t xml:space="preserve"> </w:t>
      </w:r>
      <w:r w:rsidR="00FC733F">
        <w:rPr>
          <w:rFonts w:ascii="Times New Roman" w:eastAsia="Times New Roman" w:hAnsi="Times New Roman" w:cs="Times New Roman"/>
          <w:color w:val="FF0000"/>
          <w:sz w:val="24"/>
          <w:szCs w:val="24"/>
        </w:rPr>
        <w:t>Some</w:t>
      </w:r>
      <w:r w:rsidRPr="006E77D4">
        <w:rPr>
          <w:rFonts w:ascii="Times New Roman" w:eastAsia="Times New Roman" w:hAnsi="Times New Roman" w:cs="Times New Roman"/>
          <w:color w:val="FF0000"/>
          <w:sz w:val="24"/>
          <w:szCs w:val="24"/>
        </w:rPr>
        <w:t xml:space="preserve"> local governments </w:t>
      </w:r>
      <w:r w:rsidRPr="006E77D4">
        <w:rPr>
          <w:rFonts w:ascii="Times New Roman" w:eastAsia="Times New Roman" w:hAnsi="Times New Roman" w:cs="Times New Roman"/>
          <w:color w:val="FF0000"/>
          <w:sz w:val="24"/>
          <w:szCs w:val="24"/>
          <w:lang w:val="en-US"/>
        </w:rPr>
        <w:t xml:space="preserve">have an existing Negotiated Indirect Costs Rate Agreement (NICRA) established with a Federal cognizant agency responsible for reviewing, negotiating, and approving cost allocation plans or indirect cost proposals. If a local government has a </w:t>
      </w:r>
      <w:proofErr w:type="gramStart"/>
      <w:r w:rsidRPr="006E77D4">
        <w:rPr>
          <w:rFonts w:ascii="Times New Roman" w:eastAsia="Times New Roman" w:hAnsi="Times New Roman" w:cs="Times New Roman"/>
          <w:color w:val="FF0000"/>
          <w:sz w:val="24"/>
          <w:szCs w:val="24"/>
          <w:lang w:val="en-US"/>
        </w:rPr>
        <w:t>NICRA</w:t>
      </w:r>
      <w:proofErr w:type="gramEnd"/>
      <w:r w:rsidRPr="006E77D4">
        <w:rPr>
          <w:rFonts w:ascii="Times New Roman" w:eastAsia="Times New Roman" w:hAnsi="Times New Roman" w:cs="Times New Roman"/>
          <w:color w:val="FF0000"/>
          <w:sz w:val="24"/>
          <w:szCs w:val="24"/>
          <w:lang w:val="en-US"/>
        </w:rPr>
        <w:t xml:space="preserve"> it may, but is not required to, use the NICRA rate to calculate indirect costs for its ARP/CSLFRF award. This section should be amended to reflect use of the NICRA, if applicable.]</w:t>
      </w:r>
    </w:p>
    <w:p w14:paraId="29E93F72" w14:textId="0BE20CA3"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SPECIAL PROVISIONS FOR STATE AND LOCAL GOVERNMENTS</w:t>
      </w:r>
      <w:r w:rsidR="00FC733F">
        <w:rPr>
          <w:rFonts w:ascii="Times New Roman" w:hAnsi="Times New Roman" w:cs="Times New Roman"/>
          <w:b/>
          <w:bCs/>
          <w:sz w:val="24"/>
          <w:szCs w:val="24"/>
        </w:rPr>
        <w:t xml:space="preserve"> </w:t>
      </w:r>
      <w:r w:rsidR="00FC733F" w:rsidRPr="00FF20A0">
        <w:rPr>
          <w:rFonts w:ascii="Times New Roman" w:hAnsi="Times New Roman" w:cs="Times New Roman"/>
          <w:b/>
          <w:bCs/>
          <w:color w:val="FF0000"/>
          <w:sz w:val="24"/>
          <w:szCs w:val="24"/>
        </w:rPr>
        <w:t>[</w:t>
      </w:r>
      <w:r w:rsidR="00FF20A0" w:rsidRPr="00FF20A0">
        <w:rPr>
          <w:rFonts w:ascii="Times New Roman" w:hAnsi="Times New Roman" w:cs="Times New Roman"/>
          <w:b/>
          <w:bCs/>
          <w:color w:val="FF0000"/>
          <w:sz w:val="24"/>
          <w:szCs w:val="24"/>
        </w:rPr>
        <w:t>Drafter’s Note: 2 CFR 200.444 does not apply to expenditures in the revenue replacement category or expenditures in other categories for administrative and other general government expenses that are specifically allowed in the ARP/CSLFRF Final Rule.]</w:t>
      </w:r>
    </w:p>
    <w:p w14:paraId="7433D2A0" w14:textId="77777777" w:rsidR="009E1558" w:rsidRPr="006E77D4" w:rsidRDefault="009E1558" w:rsidP="009E1558">
      <w:pPr>
        <w:rPr>
          <w:rFonts w:ascii="Times New Roman" w:hAnsi="Times New Roman" w:cs="Times New Roman"/>
          <w:sz w:val="24"/>
          <w:szCs w:val="24"/>
        </w:rPr>
      </w:pPr>
      <w:r w:rsidRPr="006E77D4">
        <w:rPr>
          <w:rFonts w:ascii="Times New Roman" w:hAnsi="Times New Roman" w:cs="Times New Roman"/>
          <w:sz w:val="24"/>
          <w:szCs w:val="24"/>
        </w:rPr>
        <w:t>There are some special provisions of the UG that apply only to states, local governments, and Indian Tribes.</w:t>
      </w:r>
    </w:p>
    <w:p w14:paraId="032438A4" w14:textId="77777777" w:rsidR="009E1558" w:rsidRPr="006E77D4" w:rsidRDefault="009E1558" w:rsidP="009E1558">
      <w:pPr>
        <w:ind w:left="720"/>
        <w:rPr>
          <w:rFonts w:ascii="Times New Roman" w:hAnsi="Times New Roman" w:cs="Times New Roman"/>
          <w:b/>
          <w:bCs/>
          <w:color w:val="333333"/>
          <w:sz w:val="24"/>
          <w:szCs w:val="24"/>
        </w:rPr>
      </w:pPr>
      <w:r w:rsidRPr="006E77D4">
        <w:rPr>
          <w:rFonts w:ascii="Times New Roman" w:hAnsi="Times New Roman" w:cs="Times New Roman"/>
          <w:b/>
          <w:bCs/>
          <w:color w:val="333333"/>
          <w:sz w:val="24"/>
          <w:szCs w:val="24"/>
        </w:rPr>
        <w:t>§ 200.444 General costs of government.</w:t>
      </w:r>
    </w:p>
    <w:p w14:paraId="1F9DB071" w14:textId="77777777" w:rsidR="009E1558" w:rsidRPr="006E77D4" w:rsidRDefault="009E1558" w:rsidP="009E1558">
      <w:pPr>
        <w:pStyle w:val="psection-1"/>
        <w:spacing w:before="150" w:beforeAutospacing="0" w:after="150" w:afterAutospacing="0"/>
        <w:ind w:left="720"/>
        <w:rPr>
          <w:color w:val="333333"/>
        </w:rPr>
      </w:pPr>
      <w:r w:rsidRPr="006E77D4">
        <w:rPr>
          <w:rStyle w:val="enumxml"/>
          <w:b/>
          <w:bCs/>
          <w:color w:val="333333"/>
        </w:rPr>
        <w:t>(a)</w:t>
      </w:r>
      <w:r w:rsidRPr="006E77D4">
        <w:rPr>
          <w:rStyle w:val="apple-converted-space"/>
          <w:rFonts w:eastAsiaTheme="minorEastAsia"/>
          <w:color w:val="333333"/>
        </w:rPr>
        <w:t> </w:t>
      </w:r>
      <w:r w:rsidRPr="006E77D4">
        <w:rPr>
          <w:color w:val="333333"/>
        </w:rPr>
        <w:t>For states, local governments, and Indian Tribes, the general costs of government are unallowable (except as provided in</w:t>
      </w:r>
      <w:r w:rsidRPr="006E77D4">
        <w:rPr>
          <w:rStyle w:val="apple-converted-space"/>
          <w:rFonts w:eastAsiaTheme="minorEastAsia"/>
          <w:color w:val="333333"/>
        </w:rPr>
        <w:t> </w:t>
      </w:r>
      <w:hyperlink r:id="rId12" w:history="1">
        <w:r w:rsidRPr="006E77D4">
          <w:rPr>
            <w:rStyle w:val="Hyperlink"/>
            <w:color w:val="0068AC"/>
          </w:rPr>
          <w:t>§ 200.475</w:t>
        </w:r>
      </w:hyperlink>
      <w:r w:rsidRPr="006E77D4">
        <w:rPr>
          <w:color w:val="333333"/>
        </w:rPr>
        <w:t>). Unallowable costs include:</w:t>
      </w:r>
    </w:p>
    <w:p w14:paraId="7F868FC1"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(1)</w:t>
      </w:r>
      <w:r w:rsidRPr="006E77D4">
        <w:rPr>
          <w:rStyle w:val="apple-converted-space"/>
          <w:rFonts w:eastAsiaTheme="minorEastAsia"/>
          <w:color w:val="333333"/>
        </w:rPr>
        <w:t> </w:t>
      </w:r>
      <w:r w:rsidRPr="006E77D4">
        <w:rPr>
          <w:color w:val="333333"/>
        </w:rPr>
        <w:t>Salaries and expenses of the Office of the Governor of a</w:t>
      </w:r>
      <w:r w:rsidRPr="006E77D4">
        <w:rPr>
          <w:rStyle w:val="apple-converted-space"/>
          <w:rFonts w:eastAsiaTheme="minorEastAsia"/>
          <w:color w:val="333333"/>
        </w:rPr>
        <w:t> </w:t>
      </w:r>
      <w:hyperlink r:id="rId13"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or the chief executive of a</w:t>
      </w:r>
      <w:r w:rsidRPr="006E77D4">
        <w:rPr>
          <w:rStyle w:val="apple-converted-space"/>
          <w:rFonts w:eastAsiaTheme="minorEastAsia"/>
          <w:color w:val="333333"/>
        </w:rPr>
        <w:t> </w:t>
      </w:r>
      <w:hyperlink r:id="rId14" w:history="1">
        <w:r w:rsidRPr="006E77D4">
          <w:rPr>
            <w:rStyle w:val="Hyperlink"/>
            <w:color w:val="0068AC"/>
          </w:rPr>
          <w:t>local government</w:t>
        </w:r>
      </w:hyperlink>
      <w:r w:rsidRPr="006E77D4">
        <w:rPr>
          <w:rStyle w:val="apple-converted-space"/>
          <w:rFonts w:eastAsiaTheme="minorEastAsia"/>
          <w:color w:val="333333"/>
        </w:rPr>
        <w:t> </w:t>
      </w:r>
      <w:r w:rsidRPr="006E77D4">
        <w:rPr>
          <w:color w:val="333333"/>
        </w:rPr>
        <w:t>or the chief executive of an</w:t>
      </w:r>
      <w:r w:rsidRPr="006E77D4">
        <w:rPr>
          <w:rStyle w:val="apple-converted-space"/>
          <w:rFonts w:eastAsiaTheme="minorEastAsia"/>
          <w:color w:val="333333"/>
        </w:rPr>
        <w:t>  </w:t>
      </w:r>
      <w:hyperlink r:id="rId15" w:history="1">
        <w:r w:rsidRPr="006E77D4">
          <w:rPr>
            <w:rStyle w:val="Hyperlink"/>
            <w:color w:val="0068AC"/>
          </w:rPr>
          <w:t>Indian tribe</w:t>
        </w:r>
      </w:hyperlink>
      <w:r w:rsidRPr="006E77D4">
        <w:rPr>
          <w:color w:val="333333"/>
        </w:rPr>
        <w:t>;</w:t>
      </w:r>
    </w:p>
    <w:p w14:paraId="6845D280"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(2)</w:t>
      </w:r>
      <w:r w:rsidRPr="006E77D4">
        <w:rPr>
          <w:rStyle w:val="apple-converted-space"/>
          <w:rFonts w:eastAsiaTheme="minorEastAsia"/>
          <w:color w:val="333333"/>
        </w:rPr>
        <w:t> </w:t>
      </w:r>
      <w:r w:rsidRPr="006E77D4">
        <w:rPr>
          <w:color w:val="333333"/>
        </w:rPr>
        <w:t>Salaries and other expenses of a</w:t>
      </w:r>
      <w:r w:rsidRPr="006E77D4">
        <w:rPr>
          <w:rStyle w:val="apple-converted-space"/>
          <w:rFonts w:eastAsiaTheme="minorEastAsia"/>
          <w:color w:val="333333"/>
        </w:rPr>
        <w:t> </w:t>
      </w:r>
      <w:hyperlink r:id="rId16"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legislature, tribal council, or similar local governmental body, such as a county supervisor, city council, school board, etc., whether incurred for purposes of legislation or executive direction;</w:t>
      </w:r>
    </w:p>
    <w:p w14:paraId="59A96E36"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(3)</w:t>
      </w:r>
      <w:r w:rsidRPr="006E77D4">
        <w:rPr>
          <w:rStyle w:val="apple-converted-space"/>
          <w:rFonts w:eastAsiaTheme="minorEastAsia"/>
          <w:color w:val="333333"/>
        </w:rPr>
        <w:t> </w:t>
      </w:r>
      <w:r w:rsidRPr="006E77D4">
        <w:rPr>
          <w:color w:val="333333"/>
        </w:rPr>
        <w:t xml:space="preserve">Costs of the judicial branch of a </w:t>
      </w:r>
      <w:proofErr w:type="gramStart"/>
      <w:r w:rsidRPr="006E77D4">
        <w:rPr>
          <w:color w:val="333333"/>
        </w:rPr>
        <w:t>government;</w:t>
      </w:r>
      <w:proofErr w:type="gramEnd"/>
    </w:p>
    <w:p w14:paraId="53F5F52B"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(4)</w:t>
      </w:r>
      <w:r w:rsidRPr="006E77D4">
        <w:rPr>
          <w:rStyle w:val="apple-converted-space"/>
          <w:rFonts w:eastAsiaTheme="minorEastAsia"/>
          <w:color w:val="333333"/>
        </w:rPr>
        <w:t> </w:t>
      </w:r>
      <w:r w:rsidRPr="006E77D4">
        <w:rPr>
          <w:color w:val="333333"/>
        </w:rPr>
        <w:t>Costs of prosecutorial activities unless treated as a direct cost to a specific program if authorized by statute or regulation (however, this does not preclude the allowability of other legal activities of the Attorney General as described in</w:t>
      </w:r>
      <w:r w:rsidRPr="006E77D4">
        <w:rPr>
          <w:rStyle w:val="apple-converted-space"/>
          <w:rFonts w:eastAsiaTheme="minorEastAsia"/>
          <w:color w:val="333333"/>
        </w:rPr>
        <w:t> </w:t>
      </w:r>
      <w:hyperlink r:id="rId17" w:history="1">
        <w:r w:rsidRPr="006E77D4">
          <w:rPr>
            <w:rStyle w:val="Hyperlink"/>
            <w:color w:val="0068AC"/>
          </w:rPr>
          <w:t>§ 200.435</w:t>
        </w:r>
      </w:hyperlink>
      <w:r w:rsidRPr="006E77D4">
        <w:rPr>
          <w:color w:val="333333"/>
        </w:rPr>
        <w:t>); and</w:t>
      </w:r>
    </w:p>
    <w:p w14:paraId="1DCB4D83"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(5)</w:t>
      </w:r>
      <w:r w:rsidRPr="006E77D4">
        <w:rPr>
          <w:rStyle w:val="apple-converted-space"/>
          <w:rFonts w:eastAsiaTheme="minorEastAsia"/>
          <w:color w:val="333333"/>
        </w:rPr>
        <w:t> </w:t>
      </w:r>
      <w:r w:rsidRPr="006E77D4">
        <w:rPr>
          <w:color w:val="333333"/>
        </w:rPr>
        <w:t xml:space="preserve">Costs of other general types of government services normally provided to the </w:t>
      </w:r>
      <w:proofErr w:type="gramStart"/>
      <w:r w:rsidRPr="006E77D4">
        <w:rPr>
          <w:color w:val="333333"/>
        </w:rPr>
        <w:t>general public</w:t>
      </w:r>
      <w:proofErr w:type="gramEnd"/>
      <w:r w:rsidRPr="006E77D4">
        <w:rPr>
          <w:color w:val="333333"/>
        </w:rPr>
        <w:t>, such as fire and police, unless provided for as a direct cost under a program statute or regulation.</w:t>
      </w:r>
    </w:p>
    <w:p w14:paraId="1B695ABB" w14:textId="77777777" w:rsidR="009E1558" w:rsidRPr="006E77D4" w:rsidRDefault="009E1558" w:rsidP="009E1558">
      <w:pPr>
        <w:pStyle w:val="psection-1"/>
        <w:spacing w:before="150" w:beforeAutospacing="0" w:after="150" w:afterAutospacing="0"/>
        <w:ind w:left="720"/>
        <w:rPr>
          <w:color w:val="333333"/>
        </w:rPr>
      </w:pPr>
      <w:r w:rsidRPr="006E77D4">
        <w:rPr>
          <w:rStyle w:val="enumxml"/>
          <w:b/>
          <w:bCs/>
          <w:color w:val="333333"/>
        </w:rPr>
        <w:t>(b)</w:t>
      </w:r>
      <w:r w:rsidRPr="006E77D4">
        <w:rPr>
          <w:rStyle w:val="apple-converted-space"/>
          <w:rFonts w:eastAsiaTheme="minorEastAsia"/>
          <w:color w:val="333333"/>
        </w:rPr>
        <w:t> </w:t>
      </w:r>
      <w:r w:rsidRPr="006E77D4">
        <w:rPr>
          <w:color w:val="333333"/>
        </w:rPr>
        <w:t>For</w:t>
      </w:r>
      <w:r w:rsidRPr="006E77D4">
        <w:rPr>
          <w:rStyle w:val="apple-converted-space"/>
          <w:rFonts w:eastAsiaTheme="minorEastAsia"/>
          <w:color w:val="333333"/>
        </w:rPr>
        <w:t> </w:t>
      </w:r>
      <w:hyperlink r:id="rId18" w:history="1">
        <w:r w:rsidRPr="006E77D4">
          <w:rPr>
            <w:rStyle w:val="Hyperlink"/>
            <w:color w:val="0068AC"/>
          </w:rPr>
          <w:t>Indian tribes</w:t>
        </w:r>
      </w:hyperlink>
      <w:r w:rsidRPr="006E77D4">
        <w:rPr>
          <w:rStyle w:val="apple-converted-space"/>
          <w:rFonts w:eastAsiaTheme="minorEastAsia"/>
          <w:color w:val="333333"/>
        </w:rPr>
        <w:t> </w:t>
      </w:r>
      <w:r w:rsidRPr="006E77D4">
        <w:rPr>
          <w:color w:val="333333"/>
        </w:rPr>
        <w:t>and Councils of Governments (COGs) (see definition for</w:t>
      </w:r>
      <w:r w:rsidRPr="006E77D4">
        <w:rPr>
          <w:rStyle w:val="apple-converted-space"/>
          <w:rFonts w:eastAsiaTheme="minorEastAsia"/>
          <w:color w:val="333333"/>
        </w:rPr>
        <w:t> </w:t>
      </w:r>
      <w:r w:rsidRPr="006E77D4">
        <w:rPr>
          <w:rStyle w:val="et03"/>
          <w:i/>
          <w:iCs/>
          <w:color w:val="333333"/>
        </w:rPr>
        <w:t>Local government</w:t>
      </w:r>
      <w:r w:rsidRPr="006E77D4">
        <w:rPr>
          <w:rStyle w:val="apple-converted-space"/>
          <w:rFonts w:eastAsiaTheme="minorEastAsia"/>
          <w:color w:val="333333"/>
        </w:rPr>
        <w:t> </w:t>
      </w:r>
      <w:r w:rsidRPr="006E77D4">
        <w:rPr>
          <w:color w:val="333333"/>
        </w:rPr>
        <w:t>in</w:t>
      </w:r>
      <w:r w:rsidRPr="006E77D4">
        <w:rPr>
          <w:rStyle w:val="apple-converted-space"/>
          <w:rFonts w:eastAsiaTheme="minorEastAsia"/>
          <w:color w:val="333333"/>
        </w:rPr>
        <w:t> </w:t>
      </w:r>
      <w:hyperlink r:id="rId19" w:history="1">
        <w:r w:rsidRPr="006E77D4">
          <w:rPr>
            <w:rStyle w:val="Hyperlink"/>
            <w:color w:val="0068AC"/>
          </w:rPr>
          <w:t>§ 200.1</w:t>
        </w:r>
      </w:hyperlink>
      <w:r w:rsidRPr="006E77D4">
        <w:rPr>
          <w:rStyle w:val="apple-converted-space"/>
          <w:rFonts w:eastAsiaTheme="minorEastAsia"/>
          <w:color w:val="333333"/>
        </w:rPr>
        <w:t> </w:t>
      </w:r>
      <w:r w:rsidRPr="006E77D4">
        <w:rPr>
          <w:color w:val="333333"/>
        </w:rPr>
        <w:t>of this part), up to 50% of salaries and expenses directly attributable to managing and operating</w:t>
      </w:r>
      <w:r w:rsidRPr="006E77D4">
        <w:rPr>
          <w:rStyle w:val="apple-converted-space"/>
          <w:rFonts w:eastAsiaTheme="minorEastAsia"/>
          <w:color w:val="333333"/>
        </w:rPr>
        <w:t>  </w:t>
      </w:r>
      <w:hyperlink r:id="rId20" w:history="1">
        <w:r w:rsidRPr="006E77D4">
          <w:rPr>
            <w:rStyle w:val="Hyperlink"/>
            <w:color w:val="0068AC"/>
          </w:rPr>
          <w:t>Federal programs</w:t>
        </w:r>
      </w:hyperlink>
      <w:r w:rsidRPr="006E77D4">
        <w:rPr>
          <w:rStyle w:val="apple-converted-space"/>
          <w:rFonts w:eastAsiaTheme="minorEastAsia"/>
          <w:color w:val="333333"/>
        </w:rPr>
        <w:t> </w:t>
      </w:r>
      <w:r w:rsidRPr="006E77D4">
        <w:rPr>
          <w:color w:val="333333"/>
        </w:rPr>
        <w:t>by the chief executive and his or her staff can be included in the indirect cost calculation without documentation.</w:t>
      </w:r>
    </w:p>
    <w:p w14:paraId="094DD5D5" w14:textId="77777777" w:rsidR="00591996" w:rsidRDefault="00591996" w:rsidP="009E1558">
      <w:pPr>
        <w:pStyle w:val="Heading2"/>
        <w:ind w:left="720"/>
        <w:rPr>
          <w:rFonts w:ascii="Times New Roman" w:hAnsi="Times New Roman" w:cs="Times New Roman"/>
          <w:b/>
          <w:bCs/>
          <w:color w:val="000000"/>
          <w:sz w:val="24"/>
          <w:szCs w:val="24"/>
        </w:rPr>
      </w:pPr>
    </w:p>
    <w:p w14:paraId="33CA7DFE" w14:textId="7837A1F9"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lastRenderedPageBreak/>
        <w:t>§ 200.416 Cost allocation plans and indirect cost proposals.</w:t>
      </w:r>
    </w:p>
    <w:p w14:paraId="7A504CBE"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a</w:t>
      </w:r>
      <w:r w:rsidRPr="006E77D4">
        <w:rPr>
          <w:rStyle w:val="paren"/>
          <w:color w:val="000000"/>
        </w:rPr>
        <w:t>)</w:t>
      </w:r>
      <w:r w:rsidRPr="006E77D4">
        <w:rPr>
          <w:rStyle w:val="apple-converted-space"/>
          <w:rFonts w:eastAsiaTheme="minorEastAsia"/>
          <w:color w:val="000000"/>
        </w:rPr>
        <w:t> </w:t>
      </w:r>
      <w:r w:rsidRPr="006E77D4">
        <w:rPr>
          <w:color w:val="000000"/>
        </w:rPr>
        <w:t>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r w:rsidRPr="006E77D4">
        <w:rPr>
          <w:rStyle w:val="apple-converted-space"/>
          <w:rFonts w:eastAsiaTheme="minorEastAsia"/>
          <w:color w:val="000000"/>
        </w:rPr>
        <w:t> </w:t>
      </w:r>
    </w:p>
    <w:p w14:paraId="759CFC32"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b</w:t>
      </w:r>
      <w:r w:rsidRPr="006E77D4">
        <w:rPr>
          <w:rStyle w:val="paren"/>
          <w:color w:val="000000"/>
        </w:rPr>
        <w:t>)</w:t>
      </w:r>
      <w:r w:rsidRPr="006E77D4">
        <w:rPr>
          <w:rStyle w:val="apple-converted-space"/>
          <w:rFonts w:eastAsiaTheme="minorEastAsia"/>
          <w:color w:val="000000"/>
        </w:rPr>
        <w:t> </w:t>
      </w:r>
      <w:r w:rsidRPr="006E77D4">
        <w:rPr>
          <w:color w:val="000000"/>
        </w:rPr>
        <w:t>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r w:rsidRPr="006E77D4">
        <w:rPr>
          <w:rStyle w:val="apple-converted-space"/>
          <w:rFonts w:eastAsiaTheme="minorEastAsia"/>
          <w:color w:val="000000"/>
        </w:rPr>
        <w:t> </w:t>
      </w:r>
    </w:p>
    <w:p w14:paraId="22840F04"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1</w:t>
      </w:r>
      <w:r w:rsidRPr="006E77D4">
        <w:rPr>
          <w:rStyle w:val="paren"/>
          <w:color w:val="000000"/>
        </w:rPr>
        <w:t>)</w:t>
      </w:r>
      <w:r w:rsidRPr="006E77D4">
        <w:rPr>
          <w:rStyle w:val="apple-converted-space"/>
          <w:rFonts w:eastAsiaTheme="minorEastAsia"/>
          <w:color w:val="000000"/>
        </w:rPr>
        <w:t> </w:t>
      </w:r>
      <w:r w:rsidRPr="006E77D4">
        <w:rPr>
          <w:color w:val="000000"/>
        </w:rPr>
        <w:t>The indirect costs originating in each department or agency of the governmental unit carrying out Federal awards and</w:t>
      </w:r>
      <w:r w:rsidRPr="006E77D4">
        <w:rPr>
          <w:rStyle w:val="apple-converted-space"/>
          <w:rFonts w:eastAsiaTheme="minorEastAsia"/>
          <w:color w:val="000000"/>
        </w:rPr>
        <w:t> </w:t>
      </w:r>
    </w:p>
    <w:p w14:paraId="3F40C1E1"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2</w:t>
      </w:r>
      <w:r w:rsidRPr="006E77D4">
        <w:rPr>
          <w:rStyle w:val="paren"/>
          <w:color w:val="000000"/>
        </w:rPr>
        <w:t>)</w:t>
      </w:r>
      <w:r w:rsidRPr="006E77D4">
        <w:rPr>
          <w:rStyle w:val="apple-converted-space"/>
          <w:rFonts w:eastAsiaTheme="minorEastAsia"/>
          <w:color w:val="000000"/>
        </w:rPr>
        <w:t> </w:t>
      </w:r>
      <w:r w:rsidRPr="006E77D4">
        <w:rPr>
          <w:color w:val="000000"/>
        </w:rPr>
        <w:t>The costs of central governmental services distributed through the central service cost allocation plan and not otherwise treated as direct costs.</w:t>
      </w:r>
      <w:r w:rsidRPr="006E77D4">
        <w:rPr>
          <w:rStyle w:val="apple-converted-space"/>
          <w:rFonts w:eastAsiaTheme="minorEastAsia"/>
          <w:color w:val="000000"/>
        </w:rPr>
        <w:t> </w:t>
      </w:r>
    </w:p>
    <w:p w14:paraId="325A9BC5"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c</w:t>
      </w:r>
      <w:r w:rsidRPr="006E77D4">
        <w:rPr>
          <w:rStyle w:val="paren"/>
          <w:color w:val="000000"/>
        </w:rPr>
        <w:t>)</w:t>
      </w:r>
      <w:r w:rsidRPr="006E77D4">
        <w:rPr>
          <w:rStyle w:val="apple-converted-space"/>
          <w:rFonts w:eastAsiaTheme="minorEastAsia"/>
          <w:color w:val="000000"/>
        </w:rPr>
        <w:t> </w:t>
      </w:r>
      <w:r w:rsidRPr="006E77D4">
        <w:rPr>
          <w:color w:val="000000"/>
        </w:rPr>
        <w:t>The requirements for development and submission of cost allocation plans (for central service costs and public assistance programs) and indirect cost rate proposals are contained in appendices V, VI and VII to this part.</w:t>
      </w:r>
      <w:r w:rsidRPr="006E77D4">
        <w:rPr>
          <w:rStyle w:val="apple-converted-space"/>
          <w:rFonts w:eastAsiaTheme="minorEastAsia"/>
          <w:color w:val="000000"/>
        </w:rPr>
        <w:t> </w:t>
      </w:r>
    </w:p>
    <w:p w14:paraId="5916B5E6" w14:textId="77777777"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t>§ 200.417 Interagency service.</w:t>
      </w:r>
    </w:p>
    <w:p w14:paraId="574D1085" w14:textId="77777777" w:rsidR="009E1558" w:rsidRPr="006E77D4" w:rsidRDefault="009E1558" w:rsidP="009E1558">
      <w:pPr>
        <w:pStyle w:val="NormalWeb"/>
        <w:ind w:left="720"/>
        <w:rPr>
          <w:color w:val="000000"/>
        </w:rPr>
      </w:pPr>
      <w:r w:rsidRPr="006E77D4">
        <w:rPr>
          <w:color w:val="000000"/>
        </w:rPr>
        <w:t>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w:t>
      </w:r>
    </w:p>
    <w:p w14:paraId="427FA19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COST ALLOWABILITY REVIEW PROCESS</w:t>
      </w:r>
    </w:p>
    <w:p w14:paraId="356737E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Preapproval Cost Allowability Review</w:t>
      </w:r>
    </w:p>
    <w:p w14:paraId="53D8AA81"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Before an ARP/CSLFRF-funded project is authorized, [</w:t>
      </w:r>
      <w:r w:rsidRPr="006E77D4">
        <w:rPr>
          <w:rFonts w:ascii="Times New Roman" w:eastAsia="Times New Roman" w:hAnsi="Times New Roman" w:cs="Times New Roman"/>
          <w:sz w:val="24"/>
          <w:szCs w:val="24"/>
          <w:u w:val="single"/>
        </w:rPr>
        <w:t>DEPARTMENT AND/OR INDIVIDUAL POSITION(S)]</w:t>
      </w:r>
      <w:r w:rsidRPr="006E77D4">
        <w:rPr>
          <w:rFonts w:ascii="Times New Roman" w:eastAsia="Times New Roman" w:hAnsi="Times New Roman" w:cs="Times New Roman"/>
          <w:sz w:val="24"/>
          <w:szCs w:val="24"/>
        </w:rPr>
        <w:t xml:space="preserve"> must review the proposed cost items within an estimated project </w:t>
      </w:r>
      <w:r>
        <w:rPr>
          <w:rFonts w:ascii="Times New Roman" w:eastAsia="Times New Roman" w:hAnsi="Times New Roman" w:cs="Times New Roman"/>
          <w:sz w:val="24"/>
          <w:szCs w:val="24"/>
        </w:rPr>
        <w:t xml:space="preserve">budget </w:t>
      </w:r>
      <w:r w:rsidRPr="006E77D4">
        <w:rPr>
          <w:rFonts w:ascii="Times New Roman" w:eastAsia="Times New Roman" w:hAnsi="Times New Roman" w:cs="Times New Roman"/>
          <w:sz w:val="24"/>
          <w:szCs w:val="24"/>
        </w:rPr>
        <w:t xml:space="preserve">to determine whether they are allowable and allocable and whether cost items will be charged as direct or indirect expenses. This review will occur concurrently with the review of project eligibility and </w:t>
      </w:r>
      <w:r w:rsidRPr="006E77D4">
        <w:rPr>
          <w:rFonts w:ascii="Times New Roman" w:eastAsia="Times New Roman" w:hAnsi="Times New Roman" w:cs="Times New Roman"/>
          <w:i/>
          <w:sz w:val="24"/>
          <w:szCs w:val="24"/>
        </w:rPr>
        <w:t xml:space="preserve">before </w:t>
      </w:r>
      <w:r w:rsidRPr="006E77D4">
        <w:rPr>
          <w:rFonts w:ascii="Times New Roman" w:eastAsia="Times New Roman" w:hAnsi="Times New Roman" w:cs="Times New Roman"/>
          <w:sz w:val="24"/>
          <w:szCs w:val="24"/>
        </w:rPr>
        <w:t xml:space="preserve">obligating or expending any ARP/CSLFRF funds. </w:t>
      </w:r>
    </w:p>
    <w:p w14:paraId="3A11EDEE"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Local government personnel must submit proposed ARP/CSLFRF projects to [DEPARTMENT AND/OR INDIVIDUAL POSITION(S)] for review. In addition to other required information, all proposed project submissions must delineate estimated </w:t>
      </w:r>
      <w:r w:rsidRPr="006E77D4">
        <w:rPr>
          <w:rFonts w:ascii="Times New Roman" w:eastAsia="Times New Roman" w:hAnsi="Times New Roman" w:cs="Times New Roman"/>
          <w:sz w:val="24"/>
          <w:szCs w:val="24"/>
        </w:rPr>
        <w:lastRenderedPageBreak/>
        <w:t xml:space="preserve">costs by </w:t>
      </w:r>
      <w:r>
        <w:rPr>
          <w:rFonts w:ascii="Times New Roman" w:eastAsia="Times New Roman" w:hAnsi="Times New Roman" w:cs="Times New Roman"/>
          <w:sz w:val="24"/>
          <w:szCs w:val="24"/>
        </w:rPr>
        <w:t>cost item</w:t>
      </w:r>
      <w:r w:rsidRPr="006E77D4">
        <w:rPr>
          <w:rFonts w:ascii="Times New Roman" w:eastAsia="Times New Roman" w:hAnsi="Times New Roman" w:cs="Times New Roman"/>
          <w:sz w:val="24"/>
          <w:szCs w:val="24"/>
        </w:rPr>
        <w:t xml:space="preserve">. </w:t>
      </w:r>
      <w:r w:rsidRPr="00F97757">
        <w:rPr>
          <w:rFonts w:ascii="Times New Roman" w:eastAsia="Times New Roman" w:hAnsi="Times New Roman" w:cs="Times New Roman"/>
          <w:color w:val="FF0000"/>
          <w:sz w:val="24"/>
          <w:szCs w:val="24"/>
        </w:rPr>
        <w:t>[NOTE THAT A LOCAL GOVERNMENT SHOULD CONSIDER PROVIDING A PROJECT BUDGET TEMPLATE THAT LISTS ALL POTENTIAL COST ITEMS.]</w:t>
      </w:r>
    </w:p>
    <w:p w14:paraId="5CE19FD9"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56BE203F" w14:textId="63DA4E41"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Along with a general review of project eligibility and conformance with other governing board management directives, </w:t>
      </w:r>
      <w:r w:rsidR="00FF20A0">
        <w:rPr>
          <w:rFonts w:ascii="Times New Roman" w:eastAsia="Times New Roman" w:hAnsi="Times New Roman" w:cs="Times New Roman"/>
          <w:sz w:val="24"/>
          <w:szCs w:val="24"/>
        </w:rPr>
        <w:t xml:space="preserve">if required, </w:t>
      </w:r>
      <w:r w:rsidRPr="006E77D4">
        <w:rPr>
          <w:rFonts w:ascii="Times New Roman" w:eastAsia="Times New Roman" w:hAnsi="Times New Roman" w:cs="Times New Roman"/>
          <w:sz w:val="24"/>
          <w:szCs w:val="24"/>
        </w:rPr>
        <w:t xml:space="preserve">[DEPARTMENT AND/OR INDIVIDUAL POSITION(S)] must review estimated costs for specific allowable </w:t>
      </w:r>
      <w:r>
        <w:rPr>
          <w:rFonts w:ascii="Times New Roman" w:eastAsia="Times New Roman" w:hAnsi="Times New Roman" w:cs="Times New Roman"/>
          <w:sz w:val="24"/>
          <w:szCs w:val="24"/>
        </w:rPr>
        <w:t>cost</w:t>
      </w:r>
      <w:r w:rsidRPr="006E77D4">
        <w:rPr>
          <w:rFonts w:ascii="Times New Roman" w:eastAsia="Times New Roman" w:hAnsi="Times New Roman" w:cs="Times New Roman"/>
          <w:sz w:val="24"/>
          <w:szCs w:val="24"/>
        </w:rPr>
        <w:t xml:space="preserve"> requirements, budget parameters, indirect rates, fringe benefit rates, and those activities/costs that require pre-approval by the US Treasury. </w:t>
      </w:r>
      <w:r w:rsidRPr="00F97757">
        <w:rPr>
          <w:rFonts w:ascii="Times New Roman" w:eastAsia="Times New Roman" w:hAnsi="Times New Roman" w:cs="Times New Roman"/>
          <w:color w:val="FF0000"/>
          <w:sz w:val="24"/>
          <w:szCs w:val="24"/>
        </w:rPr>
        <w:t>[NOTE THAT LOCAL GOVERNMENT SHOULD CROSS-REFERENCE ITS PROJECT ELIGIBILIGY REVIEW POLICY HERE.]</w:t>
      </w:r>
    </w:p>
    <w:p w14:paraId="56E7F79D"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1C131D00"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If a proposed project includes a request for an unallowable cost, the [DEPARTMENT AND/OR INDVIIDUAL POSITION(S)] will return the proposal to the requesting party for review and, if practicable, resubmission with corrected cost items.</w:t>
      </w:r>
    </w:p>
    <w:p w14:paraId="244C501C" w14:textId="77777777" w:rsidR="009E1558" w:rsidRPr="006E77D4" w:rsidRDefault="009E1558" w:rsidP="009E1558">
      <w:pPr>
        <w:pStyle w:val="ListParagraph"/>
        <w:jc w:val="left"/>
        <w:rPr>
          <w:rFonts w:ascii="Times New Roman" w:eastAsia="Times New Roman" w:hAnsi="Times New Roman" w:cs="Times New Roman"/>
          <w:sz w:val="24"/>
          <w:szCs w:val="24"/>
        </w:rPr>
      </w:pPr>
    </w:p>
    <w:p w14:paraId="1EAA041C"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Once a proposed project budget is pre-approved by [DEPARTMENT AND/OR INDIVDIUAL POSITION(S)], the local government personnel responsible for implementing the project must conform actual obligations and expenditures to the pre-approved project budget.</w:t>
      </w:r>
    </w:p>
    <w:p w14:paraId="7B6C7A03"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Post-expenditure Cost Allowability Review</w:t>
      </w:r>
    </w:p>
    <w:p w14:paraId="0B91CF1C" w14:textId="77777777" w:rsidR="009E1558" w:rsidRPr="006E77D4" w:rsidRDefault="009E1558" w:rsidP="009E1558">
      <w:pPr>
        <w:jc w:val="left"/>
        <w:rPr>
          <w:rFonts w:ascii="Times New Roman" w:hAnsi="Times New Roman" w:cs="Times New Roman"/>
          <w:sz w:val="24"/>
          <w:szCs w:val="24"/>
        </w:rPr>
      </w:pPr>
      <w:r w:rsidRPr="006E77D4">
        <w:rPr>
          <w:rFonts w:ascii="Times New Roman" w:hAnsi="Times New Roman" w:cs="Times New Roman"/>
          <w:sz w:val="24"/>
          <w:szCs w:val="24"/>
        </w:rPr>
        <w:t xml:space="preserve">Once an expenditure is incurred related to an eligible project, and an invoice or other demand for payment is submitted to the local government, the [DEPARTMENT AND/OR INDIVIDUAL POSITION(S)] must perform a second review to ensure that actual expenditures comprise allowable costs. </w:t>
      </w:r>
    </w:p>
    <w:p w14:paraId="73C32F20" w14:textId="77777777" w:rsidR="009E1558"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All invoices or other demands for payment must include a breakdown by cost item. The cost items should mirror those presented in the proposed budget for the project. If an invoice or other demand for payment does not include a breakdown by cost item, the [DEPARTMENT AND/OR INDIVDIUAL POSITION(S)] will return the invoice to the project manager and/or vendor, contractor, or subrecipient for correction. </w:t>
      </w:r>
    </w:p>
    <w:p w14:paraId="21F3C32E" w14:textId="77777777" w:rsidR="009E1558" w:rsidRPr="006E77D4" w:rsidRDefault="009E1558" w:rsidP="009E1558">
      <w:pPr>
        <w:pStyle w:val="ListParagraph"/>
        <w:jc w:val="left"/>
        <w:rPr>
          <w:rFonts w:ascii="Times New Roman" w:hAnsi="Times New Roman" w:cs="Times New Roman"/>
          <w:sz w:val="24"/>
          <w:szCs w:val="24"/>
        </w:rPr>
      </w:pPr>
    </w:p>
    <w:p w14:paraId="1F938C90"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The [DEPARTMENT AND/OR INDIVIDUAL POSITION(S)] must review the individual cost items listed on the invoice or other demand for payment to determine their allowability and allocability. </w:t>
      </w:r>
    </w:p>
    <w:p w14:paraId="7A842369" w14:textId="77777777" w:rsidR="009E1558" w:rsidRPr="006E77D4" w:rsidRDefault="009E1558" w:rsidP="009E1558">
      <w:pPr>
        <w:pStyle w:val="ListParagraph"/>
        <w:jc w:val="left"/>
        <w:rPr>
          <w:rFonts w:ascii="Times New Roman" w:hAnsi="Times New Roman" w:cs="Times New Roman"/>
          <w:sz w:val="24"/>
          <w:szCs w:val="24"/>
        </w:rPr>
      </w:pPr>
    </w:p>
    <w:p w14:paraId="3A4F6EB4"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If all cost items are deemed allowable and properly allocable, the [DEPARTMENT AND/OR INDVIDIUAL POSITION(S)] must proceed through the local government’s normal disbursement process.</w:t>
      </w:r>
    </w:p>
    <w:p w14:paraId="1456B71A" w14:textId="77777777" w:rsidR="009E1558" w:rsidRPr="006E77D4" w:rsidRDefault="009E1558" w:rsidP="009E1558">
      <w:pPr>
        <w:pStyle w:val="ListParagraph"/>
        <w:jc w:val="left"/>
        <w:rPr>
          <w:rFonts w:ascii="Times New Roman" w:hAnsi="Times New Roman" w:cs="Times New Roman"/>
          <w:sz w:val="24"/>
          <w:szCs w:val="24"/>
        </w:rPr>
      </w:pPr>
    </w:p>
    <w:p w14:paraId="5DBB0D67"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If any cost item is deemed unallowable, the [DEPARTMENT AND/OR INDIVIDUAL POSITION(S)] will notify the project management and/or vendor, contractor, or subrecipient that a portion of the invoice or other demand for payment will not be paid </w:t>
      </w:r>
      <w:r w:rsidRPr="006E77D4">
        <w:rPr>
          <w:rFonts w:ascii="Times New Roman" w:hAnsi="Times New Roman" w:cs="Times New Roman"/>
          <w:sz w:val="24"/>
          <w:szCs w:val="24"/>
        </w:rPr>
        <w:lastRenderedPageBreak/>
        <w:t>with ARP/CSLFRF funds. The [DEPARTMENT AND/OR INDIVIDUAL POSITION(S)] may in their discretion, and consistent with this policy, allow an invoice or other demand for payment to be resubmitted with a revised cost allocation. If the local government remains legally obligated by contract or otherwise to pay the disallowed cost item, it must identify other local government funds to cover the disbursement. [LOCAL GOVERNMENT NAME]’S governing board must approve any allocation of other funds for this purpose.</w:t>
      </w:r>
    </w:p>
    <w:p w14:paraId="6BFE01A8" w14:textId="77777777" w:rsidR="009E1558" w:rsidRPr="006E77D4" w:rsidRDefault="009E1558" w:rsidP="009E1558">
      <w:pPr>
        <w:pStyle w:val="ListParagraph"/>
        <w:jc w:val="left"/>
        <w:rPr>
          <w:rFonts w:ascii="Times New Roman" w:hAnsi="Times New Roman" w:cs="Times New Roman"/>
          <w:sz w:val="24"/>
          <w:szCs w:val="24"/>
        </w:rPr>
      </w:pPr>
    </w:p>
    <w:p w14:paraId="0A9270B0" w14:textId="77777777" w:rsidR="009E1558" w:rsidRPr="006E77D4" w:rsidRDefault="009E1558" w:rsidP="009E1558">
      <w:pPr>
        <w:pStyle w:val="ListParagraph"/>
        <w:numPr>
          <w:ilvl w:val="0"/>
          <w:numId w:val="7"/>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[DEPARTMENT AND/OR INDIVIDUAL POSITION(S)] must retain appropriate documentation of budgeted cost items per project and actual obligations and expenditures of cost items per project. </w:t>
      </w:r>
    </w:p>
    <w:p w14:paraId="2EF9BDB8"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COST TRANSFERS</w:t>
      </w:r>
    </w:p>
    <w:p w14:paraId="3DF01502"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Any costs charged to the ARP/CSLFRF federal award that do not meet the allowable cost criteria must be removed from the award account and charged to an account that does not require adherence to federal UGG or other applicable guidelines.</w:t>
      </w:r>
    </w:p>
    <w:p w14:paraId="3E62CD69"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Failure to adequately follow this policy and related procedures could result in questioned costs, audit findings, potential repayment of disallowed costs and discontinuance of funding. </w:t>
      </w:r>
    </w:p>
    <w:p w14:paraId="6F6F0D42" w14:textId="77777777" w:rsidR="009E1558" w:rsidRPr="006E77D4" w:rsidRDefault="009E1558" w:rsidP="009E1558">
      <w:pPr>
        <w:pStyle w:val="Heading4"/>
        <w:rPr>
          <w:rFonts w:ascii="Times New Roman" w:hAnsi="Times New Roman" w:cs="Times New Roman"/>
          <w:b/>
          <w:bCs/>
          <w:sz w:val="24"/>
          <w:szCs w:val="24"/>
        </w:rPr>
      </w:pPr>
    </w:p>
    <w:p w14:paraId="125C8E32" w14:textId="77777777" w:rsidR="009E1558" w:rsidRPr="006E77D4" w:rsidRDefault="009E1558" w:rsidP="009E1558">
      <w:pPr>
        <w:pStyle w:val="Heading4"/>
        <w:rPr>
          <w:rFonts w:ascii="Times New Roman" w:hAnsi="Times New Roman" w:cs="Times New Roman"/>
          <w:b/>
          <w:bCs/>
          <w:sz w:val="24"/>
          <w:szCs w:val="24"/>
        </w:rPr>
      </w:pPr>
    </w:p>
    <w:p w14:paraId="680D230F" w14:textId="77777777" w:rsidR="00FF20A0" w:rsidRDefault="00FF20A0" w:rsidP="009E1558">
      <w:pPr>
        <w:pStyle w:val="Heading4"/>
        <w:rPr>
          <w:rFonts w:ascii="Times New Roman" w:hAnsi="Times New Roman" w:cs="Times New Roman"/>
          <w:b/>
          <w:bCs/>
          <w:sz w:val="24"/>
          <w:szCs w:val="24"/>
        </w:rPr>
      </w:pPr>
    </w:p>
    <w:p w14:paraId="26FB90EE" w14:textId="7D5CB15C"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EXHIBIT A</w:t>
      </w:r>
    </w:p>
    <w:p w14:paraId="1BF3CEE8" w14:textId="77777777" w:rsidR="009E1558" w:rsidRPr="00635861" w:rsidRDefault="009E1558" w:rsidP="009E1558">
      <w:pPr>
        <w:rPr>
          <w:rFonts w:asciiTheme="majorHAnsi" w:eastAsia="Times New Roman" w:hAnsiTheme="majorHAnsi" w:cstheme="majorHAnsi"/>
          <w:b/>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905"/>
        <w:gridCol w:w="3930"/>
      </w:tblGrid>
      <w:tr w:rsidR="009E1558" w:rsidRPr="00635861" w14:paraId="17B5E9DE" w14:textId="77777777" w:rsidTr="00C71B51">
        <w:trPr>
          <w:trHeight w:val="279"/>
        </w:trPr>
        <w:tc>
          <w:tcPr>
            <w:tcW w:w="3885" w:type="dxa"/>
            <w:shd w:val="clear" w:color="auto" w:fill="D9D9D9"/>
            <w:tcMar>
              <w:top w:w="100" w:type="dxa"/>
              <w:left w:w="100" w:type="dxa"/>
              <w:bottom w:w="100" w:type="dxa"/>
              <w:right w:w="100" w:type="dxa"/>
            </w:tcMar>
          </w:tcPr>
          <w:p w14:paraId="735568F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Selected Items of Cost</w:t>
            </w:r>
          </w:p>
        </w:tc>
        <w:tc>
          <w:tcPr>
            <w:tcW w:w="1905" w:type="dxa"/>
            <w:shd w:val="clear" w:color="auto" w:fill="D9D9D9"/>
            <w:tcMar>
              <w:top w:w="100" w:type="dxa"/>
              <w:left w:w="100" w:type="dxa"/>
              <w:bottom w:w="100" w:type="dxa"/>
              <w:right w:w="100" w:type="dxa"/>
            </w:tcMar>
          </w:tcPr>
          <w:p w14:paraId="2EA84E3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Uniform Guidance General Reference</w:t>
            </w:r>
          </w:p>
        </w:tc>
        <w:tc>
          <w:tcPr>
            <w:tcW w:w="3930" w:type="dxa"/>
            <w:shd w:val="clear" w:color="auto" w:fill="D9D9D9"/>
            <w:tcMar>
              <w:top w:w="100" w:type="dxa"/>
              <w:left w:w="100" w:type="dxa"/>
              <w:bottom w:w="100" w:type="dxa"/>
              <w:right w:w="100" w:type="dxa"/>
            </w:tcMar>
          </w:tcPr>
          <w:p w14:paraId="09CCFA95"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Allowability</w:t>
            </w:r>
          </w:p>
        </w:tc>
      </w:tr>
      <w:tr w:rsidR="009E1558" w:rsidRPr="00635861" w14:paraId="4D8EE250" w14:textId="77777777" w:rsidTr="00C71B51">
        <w:trPr>
          <w:trHeight w:val="45"/>
        </w:trPr>
        <w:tc>
          <w:tcPr>
            <w:tcW w:w="3885" w:type="dxa"/>
            <w:shd w:val="clear" w:color="auto" w:fill="auto"/>
            <w:tcMar>
              <w:top w:w="100" w:type="dxa"/>
              <w:left w:w="100" w:type="dxa"/>
              <w:bottom w:w="100" w:type="dxa"/>
              <w:right w:w="100" w:type="dxa"/>
            </w:tcMar>
          </w:tcPr>
          <w:p w14:paraId="38D9A4E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Advertising and public relations costs </w:t>
            </w:r>
          </w:p>
        </w:tc>
        <w:tc>
          <w:tcPr>
            <w:tcW w:w="1905" w:type="dxa"/>
            <w:shd w:val="clear" w:color="auto" w:fill="auto"/>
            <w:tcMar>
              <w:top w:w="100" w:type="dxa"/>
              <w:left w:w="100" w:type="dxa"/>
              <w:bottom w:w="100" w:type="dxa"/>
              <w:right w:w="100" w:type="dxa"/>
            </w:tcMar>
          </w:tcPr>
          <w:p w14:paraId="109898D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200.421</w:t>
            </w:r>
          </w:p>
        </w:tc>
        <w:tc>
          <w:tcPr>
            <w:tcW w:w="3930" w:type="dxa"/>
            <w:shd w:val="clear" w:color="auto" w:fill="auto"/>
            <w:tcMar>
              <w:top w:w="100" w:type="dxa"/>
              <w:left w:w="100" w:type="dxa"/>
              <w:bottom w:w="100" w:type="dxa"/>
              <w:right w:w="100" w:type="dxa"/>
            </w:tcMar>
          </w:tcPr>
          <w:p w14:paraId="492C8FA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9AAF0C6" w14:textId="77777777" w:rsidTr="00C71B51">
        <w:tc>
          <w:tcPr>
            <w:tcW w:w="3885" w:type="dxa"/>
            <w:shd w:val="clear" w:color="auto" w:fill="auto"/>
            <w:tcMar>
              <w:top w:w="100" w:type="dxa"/>
              <w:left w:w="100" w:type="dxa"/>
              <w:bottom w:w="100" w:type="dxa"/>
              <w:right w:w="100" w:type="dxa"/>
            </w:tcMar>
          </w:tcPr>
          <w:p w14:paraId="7D8CF43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Advisory councils </w:t>
            </w:r>
          </w:p>
        </w:tc>
        <w:tc>
          <w:tcPr>
            <w:tcW w:w="1905" w:type="dxa"/>
            <w:shd w:val="clear" w:color="auto" w:fill="auto"/>
            <w:tcMar>
              <w:top w:w="100" w:type="dxa"/>
              <w:left w:w="100" w:type="dxa"/>
              <w:bottom w:w="100" w:type="dxa"/>
              <w:right w:w="100" w:type="dxa"/>
            </w:tcMar>
          </w:tcPr>
          <w:p w14:paraId="238119E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200.422</w:t>
            </w:r>
          </w:p>
        </w:tc>
        <w:tc>
          <w:tcPr>
            <w:tcW w:w="3930" w:type="dxa"/>
            <w:shd w:val="clear" w:color="auto" w:fill="auto"/>
            <w:tcMar>
              <w:top w:w="100" w:type="dxa"/>
              <w:left w:w="100" w:type="dxa"/>
              <w:bottom w:w="100" w:type="dxa"/>
              <w:right w:w="100" w:type="dxa"/>
            </w:tcMar>
          </w:tcPr>
          <w:p w14:paraId="2ACB709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ED577DD" w14:textId="77777777" w:rsidTr="00C71B51">
        <w:tc>
          <w:tcPr>
            <w:tcW w:w="3885" w:type="dxa"/>
            <w:shd w:val="clear" w:color="auto" w:fill="auto"/>
            <w:tcMar>
              <w:top w:w="100" w:type="dxa"/>
              <w:left w:w="100" w:type="dxa"/>
              <w:bottom w:w="100" w:type="dxa"/>
              <w:right w:w="100" w:type="dxa"/>
            </w:tcMar>
          </w:tcPr>
          <w:p w14:paraId="0DE3C44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Alcoholic beverages </w:t>
            </w:r>
          </w:p>
        </w:tc>
        <w:tc>
          <w:tcPr>
            <w:tcW w:w="1905" w:type="dxa"/>
            <w:shd w:val="clear" w:color="auto" w:fill="auto"/>
            <w:tcMar>
              <w:top w:w="100" w:type="dxa"/>
              <w:left w:w="100" w:type="dxa"/>
              <w:bottom w:w="100" w:type="dxa"/>
              <w:right w:w="100" w:type="dxa"/>
            </w:tcMar>
          </w:tcPr>
          <w:p w14:paraId="75EEBF2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200.423</w:t>
            </w:r>
          </w:p>
        </w:tc>
        <w:tc>
          <w:tcPr>
            <w:tcW w:w="3930" w:type="dxa"/>
            <w:shd w:val="clear" w:color="auto" w:fill="auto"/>
            <w:tcMar>
              <w:top w:w="100" w:type="dxa"/>
              <w:left w:w="100" w:type="dxa"/>
              <w:bottom w:w="100" w:type="dxa"/>
              <w:right w:w="100" w:type="dxa"/>
            </w:tcMar>
          </w:tcPr>
          <w:p w14:paraId="6327F45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1AB7C405" w14:textId="77777777" w:rsidTr="00C71B51">
        <w:tc>
          <w:tcPr>
            <w:tcW w:w="3885" w:type="dxa"/>
            <w:shd w:val="clear" w:color="auto" w:fill="auto"/>
            <w:tcMar>
              <w:top w:w="100" w:type="dxa"/>
              <w:left w:w="100" w:type="dxa"/>
              <w:bottom w:w="100" w:type="dxa"/>
              <w:right w:w="100" w:type="dxa"/>
            </w:tcMar>
          </w:tcPr>
          <w:p w14:paraId="2E640CFD"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Alumni/ae activities </w:t>
            </w:r>
          </w:p>
        </w:tc>
        <w:tc>
          <w:tcPr>
            <w:tcW w:w="1905" w:type="dxa"/>
            <w:shd w:val="clear" w:color="auto" w:fill="auto"/>
            <w:tcMar>
              <w:top w:w="100" w:type="dxa"/>
              <w:left w:w="100" w:type="dxa"/>
              <w:bottom w:w="100" w:type="dxa"/>
              <w:right w:w="100" w:type="dxa"/>
            </w:tcMar>
          </w:tcPr>
          <w:p w14:paraId="4F5306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200.424</w:t>
            </w:r>
          </w:p>
        </w:tc>
        <w:tc>
          <w:tcPr>
            <w:tcW w:w="3930" w:type="dxa"/>
            <w:shd w:val="clear" w:color="auto" w:fill="auto"/>
            <w:tcMar>
              <w:top w:w="100" w:type="dxa"/>
              <w:left w:w="100" w:type="dxa"/>
              <w:bottom w:w="100" w:type="dxa"/>
              <w:right w:w="100" w:type="dxa"/>
            </w:tcMar>
          </w:tcPr>
          <w:p w14:paraId="3F1EC6A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05C46D2D" w14:textId="77777777" w:rsidTr="00C71B51">
        <w:tc>
          <w:tcPr>
            <w:tcW w:w="3885" w:type="dxa"/>
            <w:shd w:val="clear" w:color="auto" w:fill="auto"/>
            <w:tcMar>
              <w:top w:w="100" w:type="dxa"/>
              <w:left w:w="100" w:type="dxa"/>
              <w:bottom w:w="100" w:type="dxa"/>
              <w:right w:w="100" w:type="dxa"/>
            </w:tcMar>
          </w:tcPr>
          <w:p w14:paraId="16E7B50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Audit services </w:t>
            </w:r>
          </w:p>
        </w:tc>
        <w:tc>
          <w:tcPr>
            <w:tcW w:w="1905" w:type="dxa"/>
            <w:shd w:val="clear" w:color="auto" w:fill="auto"/>
            <w:tcMar>
              <w:top w:w="100" w:type="dxa"/>
              <w:left w:w="100" w:type="dxa"/>
              <w:bottom w:w="100" w:type="dxa"/>
              <w:right w:w="100" w:type="dxa"/>
            </w:tcMar>
          </w:tcPr>
          <w:p w14:paraId="5217C2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200.425</w:t>
            </w:r>
          </w:p>
        </w:tc>
        <w:tc>
          <w:tcPr>
            <w:tcW w:w="3930" w:type="dxa"/>
            <w:shd w:val="clear" w:color="auto" w:fill="auto"/>
            <w:tcMar>
              <w:top w:w="100" w:type="dxa"/>
              <w:left w:w="100" w:type="dxa"/>
              <w:bottom w:w="100" w:type="dxa"/>
              <w:right w:w="100" w:type="dxa"/>
            </w:tcMar>
          </w:tcPr>
          <w:p w14:paraId="7483F7C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91F8B1" w14:textId="77777777" w:rsidTr="00C71B51">
        <w:tc>
          <w:tcPr>
            <w:tcW w:w="3885" w:type="dxa"/>
            <w:shd w:val="clear" w:color="auto" w:fill="auto"/>
            <w:tcMar>
              <w:top w:w="100" w:type="dxa"/>
              <w:left w:w="100" w:type="dxa"/>
              <w:bottom w:w="100" w:type="dxa"/>
              <w:right w:w="100" w:type="dxa"/>
            </w:tcMar>
          </w:tcPr>
          <w:p w14:paraId="5B9D0487"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Bad debts </w:t>
            </w:r>
          </w:p>
        </w:tc>
        <w:tc>
          <w:tcPr>
            <w:tcW w:w="1905" w:type="dxa"/>
            <w:shd w:val="clear" w:color="auto" w:fill="auto"/>
            <w:tcMar>
              <w:top w:w="100" w:type="dxa"/>
              <w:left w:w="100" w:type="dxa"/>
              <w:bottom w:w="100" w:type="dxa"/>
              <w:right w:w="100" w:type="dxa"/>
            </w:tcMar>
          </w:tcPr>
          <w:p w14:paraId="31C39D3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200.426</w:t>
            </w:r>
          </w:p>
        </w:tc>
        <w:tc>
          <w:tcPr>
            <w:tcW w:w="3930" w:type="dxa"/>
            <w:shd w:val="clear" w:color="auto" w:fill="auto"/>
            <w:tcMar>
              <w:top w:w="100" w:type="dxa"/>
              <w:left w:w="100" w:type="dxa"/>
              <w:bottom w:w="100" w:type="dxa"/>
              <w:right w:w="100" w:type="dxa"/>
            </w:tcMar>
          </w:tcPr>
          <w:p w14:paraId="387214B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678A2FEA" w14:textId="77777777" w:rsidTr="00C71B51">
        <w:tc>
          <w:tcPr>
            <w:tcW w:w="3885" w:type="dxa"/>
            <w:shd w:val="clear" w:color="auto" w:fill="auto"/>
            <w:tcMar>
              <w:top w:w="100" w:type="dxa"/>
              <w:left w:w="100" w:type="dxa"/>
              <w:bottom w:w="100" w:type="dxa"/>
              <w:right w:w="100" w:type="dxa"/>
            </w:tcMar>
          </w:tcPr>
          <w:p w14:paraId="79FE5EF6"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Bonding costs </w:t>
            </w:r>
          </w:p>
        </w:tc>
        <w:tc>
          <w:tcPr>
            <w:tcW w:w="1905" w:type="dxa"/>
            <w:shd w:val="clear" w:color="auto" w:fill="auto"/>
            <w:tcMar>
              <w:top w:w="100" w:type="dxa"/>
              <w:left w:w="100" w:type="dxa"/>
              <w:bottom w:w="100" w:type="dxa"/>
              <w:right w:w="100" w:type="dxa"/>
            </w:tcMar>
          </w:tcPr>
          <w:p w14:paraId="2E8DFA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200.427</w:t>
            </w:r>
          </w:p>
        </w:tc>
        <w:tc>
          <w:tcPr>
            <w:tcW w:w="3930" w:type="dxa"/>
            <w:shd w:val="clear" w:color="auto" w:fill="auto"/>
            <w:tcMar>
              <w:top w:w="100" w:type="dxa"/>
              <w:left w:w="100" w:type="dxa"/>
              <w:bottom w:w="100" w:type="dxa"/>
              <w:right w:w="100" w:type="dxa"/>
            </w:tcMar>
          </w:tcPr>
          <w:p w14:paraId="17C47A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1CB416" w14:textId="77777777" w:rsidTr="00C71B51">
        <w:tc>
          <w:tcPr>
            <w:tcW w:w="3885" w:type="dxa"/>
            <w:shd w:val="clear" w:color="auto" w:fill="auto"/>
            <w:tcMar>
              <w:top w:w="100" w:type="dxa"/>
              <w:left w:w="100" w:type="dxa"/>
              <w:bottom w:w="100" w:type="dxa"/>
              <w:right w:w="100" w:type="dxa"/>
            </w:tcMar>
          </w:tcPr>
          <w:p w14:paraId="3B5D07E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Collection of improper payments </w:t>
            </w:r>
          </w:p>
        </w:tc>
        <w:tc>
          <w:tcPr>
            <w:tcW w:w="1905" w:type="dxa"/>
            <w:shd w:val="clear" w:color="auto" w:fill="auto"/>
            <w:tcMar>
              <w:top w:w="100" w:type="dxa"/>
              <w:left w:w="100" w:type="dxa"/>
              <w:bottom w:w="100" w:type="dxa"/>
              <w:right w:w="100" w:type="dxa"/>
            </w:tcMar>
          </w:tcPr>
          <w:p w14:paraId="7B046E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200.428</w:t>
            </w:r>
          </w:p>
        </w:tc>
        <w:tc>
          <w:tcPr>
            <w:tcW w:w="3930" w:type="dxa"/>
            <w:shd w:val="clear" w:color="auto" w:fill="auto"/>
            <w:tcMar>
              <w:top w:w="100" w:type="dxa"/>
              <w:left w:w="100" w:type="dxa"/>
              <w:bottom w:w="100" w:type="dxa"/>
              <w:right w:w="100" w:type="dxa"/>
            </w:tcMar>
          </w:tcPr>
          <w:p w14:paraId="74037E9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w:t>
            </w:r>
          </w:p>
        </w:tc>
      </w:tr>
      <w:tr w:rsidR="009E1558" w:rsidRPr="00635861" w14:paraId="6C8E6237" w14:textId="77777777" w:rsidTr="00C71B51">
        <w:tc>
          <w:tcPr>
            <w:tcW w:w="3885" w:type="dxa"/>
            <w:shd w:val="clear" w:color="auto" w:fill="auto"/>
            <w:tcMar>
              <w:top w:w="100" w:type="dxa"/>
              <w:left w:w="100" w:type="dxa"/>
              <w:bottom w:w="100" w:type="dxa"/>
              <w:right w:w="100" w:type="dxa"/>
            </w:tcMar>
          </w:tcPr>
          <w:p w14:paraId="793577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Commencement and convocation costs </w:t>
            </w:r>
          </w:p>
        </w:tc>
        <w:tc>
          <w:tcPr>
            <w:tcW w:w="1905" w:type="dxa"/>
            <w:shd w:val="clear" w:color="auto" w:fill="auto"/>
            <w:tcMar>
              <w:top w:w="100" w:type="dxa"/>
              <w:left w:w="100" w:type="dxa"/>
              <w:bottom w:w="100" w:type="dxa"/>
              <w:right w:w="100" w:type="dxa"/>
            </w:tcMar>
          </w:tcPr>
          <w:p w14:paraId="132CA2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200.429</w:t>
            </w:r>
          </w:p>
        </w:tc>
        <w:tc>
          <w:tcPr>
            <w:tcW w:w="3930" w:type="dxa"/>
            <w:shd w:val="clear" w:color="auto" w:fill="auto"/>
            <w:tcMar>
              <w:top w:w="100" w:type="dxa"/>
              <w:left w:w="100" w:type="dxa"/>
              <w:bottom w:w="100" w:type="dxa"/>
              <w:right w:w="100" w:type="dxa"/>
            </w:tcMar>
          </w:tcPr>
          <w:p w14:paraId="3254716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2040A1A8" w14:textId="77777777" w:rsidTr="00C71B51">
        <w:tc>
          <w:tcPr>
            <w:tcW w:w="3885" w:type="dxa"/>
            <w:shd w:val="clear" w:color="auto" w:fill="auto"/>
            <w:tcMar>
              <w:top w:w="100" w:type="dxa"/>
              <w:left w:w="100" w:type="dxa"/>
              <w:bottom w:w="100" w:type="dxa"/>
              <w:right w:w="100" w:type="dxa"/>
            </w:tcMar>
          </w:tcPr>
          <w:p w14:paraId="2D5AB8DD"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personal services </w:t>
            </w:r>
          </w:p>
        </w:tc>
        <w:tc>
          <w:tcPr>
            <w:tcW w:w="1905" w:type="dxa"/>
            <w:shd w:val="clear" w:color="auto" w:fill="auto"/>
            <w:tcMar>
              <w:top w:w="100" w:type="dxa"/>
              <w:left w:w="100" w:type="dxa"/>
              <w:bottom w:w="100" w:type="dxa"/>
              <w:right w:w="100" w:type="dxa"/>
            </w:tcMar>
          </w:tcPr>
          <w:p w14:paraId="0C72CAE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200.430</w:t>
            </w:r>
          </w:p>
        </w:tc>
        <w:tc>
          <w:tcPr>
            <w:tcW w:w="3930" w:type="dxa"/>
            <w:shd w:val="clear" w:color="auto" w:fill="auto"/>
            <w:tcMar>
              <w:top w:w="100" w:type="dxa"/>
              <w:left w:w="100" w:type="dxa"/>
              <w:bottom w:w="100" w:type="dxa"/>
              <w:right w:w="100" w:type="dxa"/>
            </w:tcMar>
          </w:tcPr>
          <w:p w14:paraId="2ADDF65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Special conditions apply (e.g., </w:t>
            </w:r>
            <w:r w:rsidRPr="00D210E4">
              <w:rPr>
                <w:rFonts w:asciiTheme="majorHAnsi" w:eastAsia="Times" w:hAnsiTheme="majorHAnsi" w:cstheme="majorHAnsi"/>
              </w:rPr>
              <w:t>§ 200.430(</w:t>
            </w:r>
            <w:proofErr w:type="spellStart"/>
            <w:r w:rsidRPr="00D210E4">
              <w:rPr>
                <w:rFonts w:asciiTheme="majorHAnsi" w:eastAsia="Times" w:hAnsiTheme="majorHAnsi" w:cstheme="majorHAnsi"/>
              </w:rPr>
              <w:t>i</w:t>
            </w:r>
            <w:proofErr w:type="spellEnd"/>
            <w:r w:rsidRPr="00D210E4">
              <w:rPr>
                <w:rFonts w:asciiTheme="majorHAnsi" w:eastAsia="Times" w:hAnsiTheme="majorHAnsi" w:cstheme="majorHAnsi"/>
              </w:rPr>
              <w:t>)(5))</w:t>
            </w:r>
          </w:p>
        </w:tc>
      </w:tr>
      <w:tr w:rsidR="009E1558" w:rsidRPr="00635861" w14:paraId="2516D08F" w14:textId="77777777" w:rsidTr="00C71B51">
        <w:tc>
          <w:tcPr>
            <w:tcW w:w="3885" w:type="dxa"/>
            <w:shd w:val="clear" w:color="auto" w:fill="auto"/>
            <w:tcMar>
              <w:top w:w="100" w:type="dxa"/>
              <w:left w:w="100" w:type="dxa"/>
              <w:bottom w:w="100" w:type="dxa"/>
              <w:right w:w="100" w:type="dxa"/>
            </w:tcMar>
          </w:tcPr>
          <w:p w14:paraId="6A865E0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fringe benefits </w:t>
            </w:r>
          </w:p>
        </w:tc>
        <w:tc>
          <w:tcPr>
            <w:tcW w:w="1905" w:type="dxa"/>
            <w:shd w:val="clear" w:color="auto" w:fill="auto"/>
            <w:tcMar>
              <w:top w:w="100" w:type="dxa"/>
              <w:left w:w="100" w:type="dxa"/>
              <w:bottom w:w="100" w:type="dxa"/>
              <w:right w:w="100" w:type="dxa"/>
            </w:tcMar>
          </w:tcPr>
          <w:p w14:paraId="3FD234FE"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200.431</w:t>
            </w:r>
          </w:p>
        </w:tc>
        <w:tc>
          <w:tcPr>
            <w:tcW w:w="3930" w:type="dxa"/>
            <w:shd w:val="clear" w:color="auto" w:fill="auto"/>
            <w:tcMar>
              <w:top w:w="100" w:type="dxa"/>
              <w:left w:w="100" w:type="dxa"/>
              <w:bottom w:w="100" w:type="dxa"/>
              <w:right w:w="100" w:type="dxa"/>
            </w:tcMar>
          </w:tcPr>
          <w:p w14:paraId="7E47D72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190C17A" w14:textId="77777777" w:rsidTr="00C71B51">
        <w:tc>
          <w:tcPr>
            <w:tcW w:w="3885" w:type="dxa"/>
            <w:shd w:val="clear" w:color="auto" w:fill="auto"/>
            <w:tcMar>
              <w:top w:w="100" w:type="dxa"/>
              <w:left w:w="100" w:type="dxa"/>
              <w:bottom w:w="100" w:type="dxa"/>
              <w:right w:w="100" w:type="dxa"/>
            </w:tcMar>
          </w:tcPr>
          <w:p w14:paraId="774BD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Conferences </w:t>
            </w:r>
          </w:p>
        </w:tc>
        <w:tc>
          <w:tcPr>
            <w:tcW w:w="1905" w:type="dxa"/>
            <w:shd w:val="clear" w:color="auto" w:fill="auto"/>
            <w:tcMar>
              <w:top w:w="100" w:type="dxa"/>
              <w:left w:w="100" w:type="dxa"/>
              <w:bottom w:w="100" w:type="dxa"/>
              <w:right w:w="100" w:type="dxa"/>
            </w:tcMar>
          </w:tcPr>
          <w:p w14:paraId="3396B29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200.432</w:t>
            </w:r>
          </w:p>
        </w:tc>
        <w:tc>
          <w:tcPr>
            <w:tcW w:w="3930" w:type="dxa"/>
            <w:shd w:val="clear" w:color="auto" w:fill="auto"/>
            <w:tcMar>
              <w:top w:w="100" w:type="dxa"/>
              <w:left w:w="100" w:type="dxa"/>
              <w:bottom w:w="100" w:type="dxa"/>
              <w:right w:w="100" w:type="dxa"/>
            </w:tcMar>
          </w:tcPr>
          <w:p w14:paraId="374D75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E4E0919" w14:textId="77777777" w:rsidTr="00C71B51">
        <w:tc>
          <w:tcPr>
            <w:tcW w:w="3885" w:type="dxa"/>
            <w:shd w:val="clear" w:color="auto" w:fill="auto"/>
            <w:tcMar>
              <w:top w:w="100" w:type="dxa"/>
              <w:left w:w="100" w:type="dxa"/>
              <w:bottom w:w="100" w:type="dxa"/>
              <w:right w:w="100" w:type="dxa"/>
            </w:tcMar>
          </w:tcPr>
          <w:p w14:paraId="195B36E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Contingency provisions </w:t>
            </w:r>
          </w:p>
        </w:tc>
        <w:tc>
          <w:tcPr>
            <w:tcW w:w="1905" w:type="dxa"/>
            <w:shd w:val="clear" w:color="auto" w:fill="auto"/>
            <w:tcMar>
              <w:top w:w="100" w:type="dxa"/>
              <w:left w:w="100" w:type="dxa"/>
              <w:bottom w:w="100" w:type="dxa"/>
              <w:right w:w="100" w:type="dxa"/>
            </w:tcMar>
          </w:tcPr>
          <w:p w14:paraId="5B56A7C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200.433</w:t>
            </w:r>
          </w:p>
        </w:tc>
        <w:tc>
          <w:tcPr>
            <w:tcW w:w="3930" w:type="dxa"/>
            <w:shd w:val="clear" w:color="auto" w:fill="auto"/>
            <w:tcMar>
              <w:top w:w="100" w:type="dxa"/>
              <w:left w:w="100" w:type="dxa"/>
              <w:bottom w:w="100" w:type="dxa"/>
              <w:right w:w="100" w:type="dxa"/>
            </w:tcMar>
          </w:tcPr>
          <w:p w14:paraId="266FE91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BADCC3A" w14:textId="77777777" w:rsidTr="00C71B51">
        <w:tc>
          <w:tcPr>
            <w:tcW w:w="3885" w:type="dxa"/>
            <w:shd w:val="clear" w:color="auto" w:fill="auto"/>
            <w:tcMar>
              <w:top w:w="100" w:type="dxa"/>
              <w:left w:w="100" w:type="dxa"/>
              <w:bottom w:w="100" w:type="dxa"/>
              <w:right w:w="100" w:type="dxa"/>
            </w:tcMar>
          </w:tcPr>
          <w:p w14:paraId="02BFD39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Contributions and donations </w:t>
            </w:r>
          </w:p>
        </w:tc>
        <w:tc>
          <w:tcPr>
            <w:tcW w:w="1905" w:type="dxa"/>
            <w:shd w:val="clear" w:color="auto" w:fill="auto"/>
            <w:tcMar>
              <w:top w:w="100" w:type="dxa"/>
              <w:left w:w="100" w:type="dxa"/>
              <w:bottom w:w="100" w:type="dxa"/>
              <w:right w:w="100" w:type="dxa"/>
            </w:tcMar>
          </w:tcPr>
          <w:p w14:paraId="1424CA4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200.434</w:t>
            </w:r>
          </w:p>
        </w:tc>
        <w:tc>
          <w:tcPr>
            <w:tcW w:w="3930" w:type="dxa"/>
            <w:shd w:val="clear" w:color="auto" w:fill="auto"/>
            <w:tcMar>
              <w:top w:w="100" w:type="dxa"/>
              <w:left w:w="100" w:type="dxa"/>
              <w:bottom w:w="100" w:type="dxa"/>
              <w:right w:w="100" w:type="dxa"/>
            </w:tcMar>
          </w:tcPr>
          <w:p w14:paraId="626FF24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(made by non-federal entity); not reimbursable but value may be used as cost sharing or matching (made to non-federal entity)</w:t>
            </w:r>
          </w:p>
        </w:tc>
      </w:tr>
      <w:tr w:rsidR="009E1558" w:rsidRPr="00635861" w14:paraId="079844AA" w14:textId="77777777" w:rsidTr="00C71B51">
        <w:tc>
          <w:tcPr>
            <w:tcW w:w="3885" w:type="dxa"/>
            <w:shd w:val="clear" w:color="auto" w:fill="auto"/>
            <w:tcMar>
              <w:top w:w="100" w:type="dxa"/>
              <w:left w:w="100" w:type="dxa"/>
              <w:bottom w:w="100" w:type="dxa"/>
              <w:right w:w="100" w:type="dxa"/>
            </w:tcMar>
          </w:tcPr>
          <w:p w14:paraId="5580CFBF" w14:textId="77777777" w:rsidR="009E1558" w:rsidRPr="00D210E4" w:rsidRDefault="009E1558" w:rsidP="00C71B51">
            <w:pPr>
              <w:widowControl w:val="0"/>
              <w:spacing w:line="229" w:lineRule="auto"/>
              <w:ind w:left="113" w:right="45" w:firstLine="2"/>
              <w:rPr>
                <w:rFonts w:asciiTheme="majorHAnsi" w:eastAsia="Times" w:hAnsiTheme="majorHAnsi" w:cstheme="majorHAnsi"/>
              </w:rPr>
            </w:pPr>
            <w:r w:rsidRPr="00D210E4">
              <w:rPr>
                <w:rFonts w:asciiTheme="majorHAnsi" w:eastAsia="Times" w:hAnsiTheme="majorHAnsi" w:cstheme="majorHAnsi"/>
              </w:rPr>
              <w:t xml:space="preserve">Defense and prosecution of criminal and civil proceedings, claims, appeals and </w:t>
            </w:r>
            <w:proofErr w:type="gramStart"/>
            <w:r w:rsidRPr="00D210E4">
              <w:rPr>
                <w:rFonts w:asciiTheme="majorHAnsi" w:eastAsia="Times" w:hAnsiTheme="majorHAnsi" w:cstheme="majorHAnsi"/>
              </w:rPr>
              <w:t xml:space="preserve">patent  </w:t>
            </w:r>
            <w:r w:rsidRPr="00D210E4">
              <w:rPr>
                <w:rFonts w:asciiTheme="majorHAnsi" w:eastAsia="Times" w:hAnsiTheme="majorHAnsi" w:cstheme="majorHAnsi"/>
              </w:rPr>
              <w:lastRenderedPageBreak/>
              <w:t>infringements</w:t>
            </w:r>
            <w:proofErr w:type="gramEnd"/>
          </w:p>
        </w:tc>
        <w:tc>
          <w:tcPr>
            <w:tcW w:w="1905" w:type="dxa"/>
            <w:shd w:val="clear" w:color="auto" w:fill="auto"/>
            <w:tcMar>
              <w:top w:w="100" w:type="dxa"/>
              <w:left w:w="100" w:type="dxa"/>
              <w:bottom w:w="100" w:type="dxa"/>
              <w:right w:w="100" w:type="dxa"/>
            </w:tcMar>
          </w:tcPr>
          <w:p w14:paraId="49AEA3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lastRenderedPageBreak/>
              <w:t>2 CFR § 200.435</w:t>
            </w:r>
          </w:p>
        </w:tc>
        <w:tc>
          <w:tcPr>
            <w:tcW w:w="3930" w:type="dxa"/>
            <w:shd w:val="clear" w:color="auto" w:fill="auto"/>
            <w:tcMar>
              <w:top w:w="100" w:type="dxa"/>
              <w:left w:w="100" w:type="dxa"/>
              <w:bottom w:w="100" w:type="dxa"/>
              <w:right w:w="100" w:type="dxa"/>
            </w:tcMar>
          </w:tcPr>
          <w:p w14:paraId="4BD00D3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2E1C87C" w14:textId="77777777" w:rsidTr="00C71B51">
        <w:tc>
          <w:tcPr>
            <w:tcW w:w="3885" w:type="dxa"/>
            <w:shd w:val="clear" w:color="auto" w:fill="auto"/>
            <w:tcMar>
              <w:top w:w="100" w:type="dxa"/>
              <w:left w:w="100" w:type="dxa"/>
              <w:bottom w:w="100" w:type="dxa"/>
              <w:right w:w="100" w:type="dxa"/>
            </w:tcMar>
          </w:tcPr>
          <w:p w14:paraId="778ED205"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Depreciation </w:t>
            </w:r>
          </w:p>
        </w:tc>
        <w:tc>
          <w:tcPr>
            <w:tcW w:w="1905" w:type="dxa"/>
            <w:shd w:val="clear" w:color="auto" w:fill="auto"/>
            <w:tcMar>
              <w:top w:w="100" w:type="dxa"/>
              <w:left w:w="100" w:type="dxa"/>
              <w:bottom w:w="100" w:type="dxa"/>
              <w:right w:w="100" w:type="dxa"/>
            </w:tcMar>
          </w:tcPr>
          <w:p w14:paraId="3D1C06B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200.436</w:t>
            </w:r>
          </w:p>
        </w:tc>
        <w:tc>
          <w:tcPr>
            <w:tcW w:w="3930" w:type="dxa"/>
            <w:shd w:val="clear" w:color="auto" w:fill="auto"/>
            <w:tcMar>
              <w:top w:w="100" w:type="dxa"/>
              <w:left w:w="100" w:type="dxa"/>
              <w:bottom w:w="100" w:type="dxa"/>
              <w:right w:w="100" w:type="dxa"/>
            </w:tcMar>
          </w:tcPr>
          <w:p w14:paraId="773AB94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qualifications</w:t>
            </w:r>
          </w:p>
        </w:tc>
      </w:tr>
      <w:tr w:rsidR="009E1558" w:rsidRPr="00635861" w14:paraId="43BAEF40" w14:textId="77777777" w:rsidTr="00C71B51">
        <w:tc>
          <w:tcPr>
            <w:tcW w:w="3885" w:type="dxa"/>
            <w:shd w:val="clear" w:color="auto" w:fill="auto"/>
            <w:tcMar>
              <w:top w:w="100" w:type="dxa"/>
              <w:left w:w="100" w:type="dxa"/>
              <w:bottom w:w="100" w:type="dxa"/>
              <w:right w:w="100" w:type="dxa"/>
            </w:tcMar>
          </w:tcPr>
          <w:p w14:paraId="4AD4F6D1"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Employee health and welfare costs </w:t>
            </w:r>
          </w:p>
        </w:tc>
        <w:tc>
          <w:tcPr>
            <w:tcW w:w="1905" w:type="dxa"/>
            <w:shd w:val="clear" w:color="auto" w:fill="auto"/>
            <w:tcMar>
              <w:top w:w="100" w:type="dxa"/>
              <w:left w:w="100" w:type="dxa"/>
              <w:bottom w:w="100" w:type="dxa"/>
              <w:right w:w="100" w:type="dxa"/>
            </w:tcMar>
          </w:tcPr>
          <w:p w14:paraId="670D8B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200.437</w:t>
            </w:r>
          </w:p>
        </w:tc>
        <w:tc>
          <w:tcPr>
            <w:tcW w:w="3930" w:type="dxa"/>
            <w:shd w:val="clear" w:color="auto" w:fill="auto"/>
            <w:tcMar>
              <w:top w:w="100" w:type="dxa"/>
              <w:left w:w="100" w:type="dxa"/>
              <w:bottom w:w="100" w:type="dxa"/>
              <w:right w:w="100" w:type="dxa"/>
            </w:tcMar>
          </w:tcPr>
          <w:p w14:paraId="0DAD12E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DCBBFAF" w14:textId="77777777" w:rsidTr="00C71B51">
        <w:tc>
          <w:tcPr>
            <w:tcW w:w="3885" w:type="dxa"/>
            <w:shd w:val="clear" w:color="auto" w:fill="auto"/>
            <w:tcMar>
              <w:top w:w="100" w:type="dxa"/>
              <w:left w:w="100" w:type="dxa"/>
              <w:bottom w:w="100" w:type="dxa"/>
              <w:right w:w="100" w:type="dxa"/>
            </w:tcMar>
          </w:tcPr>
          <w:p w14:paraId="75794117"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Entertainment costs </w:t>
            </w:r>
          </w:p>
        </w:tc>
        <w:tc>
          <w:tcPr>
            <w:tcW w:w="1905" w:type="dxa"/>
            <w:shd w:val="clear" w:color="auto" w:fill="auto"/>
            <w:tcMar>
              <w:top w:w="100" w:type="dxa"/>
              <w:left w:w="100" w:type="dxa"/>
              <w:bottom w:w="100" w:type="dxa"/>
              <w:right w:w="100" w:type="dxa"/>
            </w:tcMar>
          </w:tcPr>
          <w:p w14:paraId="47C2FD3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200.438</w:t>
            </w:r>
          </w:p>
        </w:tc>
        <w:tc>
          <w:tcPr>
            <w:tcW w:w="3930" w:type="dxa"/>
            <w:shd w:val="clear" w:color="auto" w:fill="auto"/>
            <w:tcMar>
              <w:top w:w="100" w:type="dxa"/>
              <w:left w:w="100" w:type="dxa"/>
              <w:bottom w:w="100" w:type="dxa"/>
              <w:right w:w="100" w:type="dxa"/>
            </w:tcMar>
          </w:tcPr>
          <w:p w14:paraId="1E787275"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9BF5D2E" w14:textId="77777777" w:rsidTr="00C71B51">
        <w:tc>
          <w:tcPr>
            <w:tcW w:w="3885" w:type="dxa"/>
            <w:shd w:val="clear" w:color="auto" w:fill="auto"/>
            <w:tcMar>
              <w:top w:w="100" w:type="dxa"/>
              <w:left w:w="100" w:type="dxa"/>
              <w:bottom w:w="100" w:type="dxa"/>
              <w:right w:w="100" w:type="dxa"/>
            </w:tcMar>
          </w:tcPr>
          <w:p w14:paraId="5C85537F"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Equipment and other capital expenditures </w:t>
            </w:r>
          </w:p>
        </w:tc>
        <w:tc>
          <w:tcPr>
            <w:tcW w:w="1905" w:type="dxa"/>
            <w:shd w:val="clear" w:color="auto" w:fill="auto"/>
            <w:tcMar>
              <w:top w:w="100" w:type="dxa"/>
              <w:left w:w="100" w:type="dxa"/>
              <w:bottom w:w="100" w:type="dxa"/>
              <w:right w:w="100" w:type="dxa"/>
            </w:tcMar>
          </w:tcPr>
          <w:p w14:paraId="01E10E7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200.439</w:t>
            </w:r>
          </w:p>
        </w:tc>
        <w:tc>
          <w:tcPr>
            <w:tcW w:w="3930" w:type="dxa"/>
            <w:shd w:val="clear" w:color="auto" w:fill="auto"/>
            <w:tcMar>
              <w:top w:w="100" w:type="dxa"/>
              <w:left w:w="100" w:type="dxa"/>
              <w:bottom w:w="100" w:type="dxa"/>
              <w:right w:w="100" w:type="dxa"/>
            </w:tcMar>
          </w:tcPr>
          <w:p w14:paraId="31F4070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Allowability based on specific requirement</w:t>
            </w:r>
          </w:p>
        </w:tc>
      </w:tr>
      <w:tr w:rsidR="009E1558" w:rsidRPr="00635861" w14:paraId="21690230" w14:textId="77777777" w:rsidTr="00C71B51">
        <w:tc>
          <w:tcPr>
            <w:tcW w:w="3885" w:type="dxa"/>
            <w:shd w:val="clear" w:color="auto" w:fill="auto"/>
            <w:tcMar>
              <w:top w:w="100" w:type="dxa"/>
              <w:left w:w="100" w:type="dxa"/>
              <w:bottom w:w="100" w:type="dxa"/>
              <w:right w:w="100" w:type="dxa"/>
            </w:tcMar>
          </w:tcPr>
          <w:p w14:paraId="3D66AE4A"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Exchange rates </w:t>
            </w:r>
          </w:p>
        </w:tc>
        <w:tc>
          <w:tcPr>
            <w:tcW w:w="1905" w:type="dxa"/>
            <w:shd w:val="clear" w:color="auto" w:fill="auto"/>
            <w:tcMar>
              <w:top w:w="100" w:type="dxa"/>
              <w:left w:w="100" w:type="dxa"/>
              <w:bottom w:w="100" w:type="dxa"/>
              <w:right w:w="100" w:type="dxa"/>
            </w:tcMar>
          </w:tcPr>
          <w:p w14:paraId="27391B0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200.440</w:t>
            </w:r>
          </w:p>
        </w:tc>
        <w:tc>
          <w:tcPr>
            <w:tcW w:w="3930" w:type="dxa"/>
            <w:shd w:val="clear" w:color="auto" w:fill="auto"/>
            <w:tcMar>
              <w:top w:w="100" w:type="dxa"/>
              <w:left w:w="100" w:type="dxa"/>
              <w:bottom w:w="100" w:type="dxa"/>
              <w:right w:w="100" w:type="dxa"/>
            </w:tcMar>
          </w:tcPr>
          <w:p w14:paraId="54CEED0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9560837" w14:textId="77777777" w:rsidTr="00C71B51">
        <w:tc>
          <w:tcPr>
            <w:tcW w:w="3885" w:type="dxa"/>
            <w:shd w:val="clear" w:color="auto" w:fill="auto"/>
            <w:tcMar>
              <w:top w:w="100" w:type="dxa"/>
              <w:left w:w="100" w:type="dxa"/>
              <w:bottom w:w="100" w:type="dxa"/>
              <w:right w:w="100" w:type="dxa"/>
            </w:tcMar>
          </w:tcPr>
          <w:p w14:paraId="5485A595"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Fines, penalties, </w:t>
            </w:r>
            <w:proofErr w:type="gramStart"/>
            <w:r w:rsidRPr="00D210E4">
              <w:rPr>
                <w:rFonts w:asciiTheme="majorHAnsi" w:eastAsia="Times" w:hAnsiTheme="majorHAnsi" w:cstheme="majorHAnsi"/>
              </w:rPr>
              <w:t>damages</w:t>
            </w:r>
            <w:proofErr w:type="gramEnd"/>
            <w:r w:rsidRPr="00D210E4">
              <w:rPr>
                <w:rFonts w:asciiTheme="majorHAnsi" w:eastAsia="Times" w:hAnsiTheme="majorHAnsi" w:cstheme="majorHAnsi"/>
              </w:rPr>
              <w:t xml:space="preserve"> and other settlements </w:t>
            </w:r>
          </w:p>
        </w:tc>
        <w:tc>
          <w:tcPr>
            <w:tcW w:w="1905" w:type="dxa"/>
            <w:shd w:val="clear" w:color="auto" w:fill="auto"/>
            <w:tcMar>
              <w:top w:w="100" w:type="dxa"/>
              <w:left w:w="100" w:type="dxa"/>
              <w:bottom w:w="100" w:type="dxa"/>
              <w:right w:w="100" w:type="dxa"/>
            </w:tcMar>
          </w:tcPr>
          <w:p w14:paraId="262E1D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200.441</w:t>
            </w:r>
          </w:p>
        </w:tc>
        <w:tc>
          <w:tcPr>
            <w:tcW w:w="3930" w:type="dxa"/>
            <w:shd w:val="clear" w:color="auto" w:fill="auto"/>
            <w:tcMar>
              <w:top w:w="100" w:type="dxa"/>
              <w:left w:w="100" w:type="dxa"/>
              <w:bottom w:w="100" w:type="dxa"/>
              <w:right w:w="100" w:type="dxa"/>
            </w:tcMar>
          </w:tcPr>
          <w:p w14:paraId="5221E4D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0C666AA2" w14:textId="77777777" w:rsidTr="00C71B51">
        <w:tc>
          <w:tcPr>
            <w:tcW w:w="3885" w:type="dxa"/>
            <w:shd w:val="clear" w:color="auto" w:fill="auto"/>
            <w:tcMar>
              <w:top w:w="100" w:type="dxa"/>
              <w:left w:w="100" w:type="dxa"/>
              <w:bottom w:w="100" w:type="dxa"/>
              <w:right w:w="100" w:type="dxa"/>
            </w:tcMar>
          </w:tcPr>
          <w:p w14:paraId="74861193"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Fund raising and investment management costs </w:t>
            </w:r>
          </w:p>
        </w:tc>
        <w:tc>
          <w:tcPr>
            <w:tcW w:w="1905" w:type="dxa"/>
            <w:shd w:val="clear" w:color="auto" w:fill="auto"/>
            <w:tcMar>
              <w:top w:w="100" w:type="dxa"/>
              <w:left w:w="100" w:type="dxa"/>
              <w:bottom w:w="100" w:type="dxa"/>
              <w:right w:w="100" w:type="dxa"/>
            </w:tcMar>
          </w:tcPr>
          <w:p w14:paraId="565D2E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200.442</w:t>
            </w:r>
          </w:p>
        </w:tc>
        <w:tc>
          <w:tcPr>
            <w:tcW w:w="3930" w:type="dxa"/>
            <w:shd w:val="clear" w:color="auto" w:fill="auto"/>
            <w:tcMar>
              <w:top w:w="100" w:type="dxa"/>
              <w:left w:w="100" w:type="dxa"/>
              <w:bottom w:w="100" w:type="dxa"/>
              <w:right w:w="100" w:type="dxa"/>
            </w:tcMar>
          </w:tcPr>
          <w:p w14:paraId="4FC67AE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13C95151" w14:textId="77777777" w:rsidTr="00C71B51">
        <w:tc>
          <w:tcPr>
            <w:tcW w:w="3885" w:type="dxa"/>
            <w:shd w:val="clear" w:color="auto" w:fill="auto"/>
            <w:tcMar>
              <w:top w:w="100" w:type="dxa"/>
              <w:left w:w="100" w:type="dxa"/>
              <w:bottom w:w="100" w:type="dxa"/>
              <w:right w:w="100" w:type="dxa"/>
            </w:tcMar>
          </w:tcPr>
          <w:p w14:paraId="5015737C" w14:textId="77777777" w:rsidR="009E1558" w:rsidRPr="00D210E4" w:rsidRDefault="009E1558" w:rsidP="00C71B51">
            <w:pPr>
              <w:widowControl w:val="0"/>
              <w:spacing w:line="229" w:lineRule="auto"/>
              <w:ind w:left="121" w:right="46" w:hanging="1"/>
              <w:rPr>
                <w:rFonts w:asciiTheme="majorHAnsi" w:eastAsia="Times" w:hAnsiTheme="majorHAnsi" w:cstheme="majorHAnsi"/>
              </w:rPr>
            </w:pPr>
            <w:r w:rsidRPr="00D210E4">
              <w:rPr>
                <w:rFonts w:asciiTheme="majorHAnsi" w:eastAsia="Times" w:hAnsiTheme="majorHAnsi" w:cstheme="majorHAnsi"/>
              </w:rPr>
              <w:t>Gains and losses on disposition of depreciable assets</w:t>
            </w:r>
          </w:p>
        </w:tc>
        <w:tc>
          <w:tcPr>
            <w:tcW w:w="1905" w:type="dxa"/>
            <w:shd w:val="clear" w:color="auto" w:fill="auto"/>
            <w:tcMar>
              <w:top w:w="100" w:type="dxa"/>
              <w:left w:w="100" w:type="dxa"/>
              <w:bottom w:w="100" w:type="dxa"/>
              <w:right w:w="100" w:type="dxa"/>
            </w:tcMar>
          </w:tcPr>
          <w:p w14:paraId="61FC437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200.443</w:t>
            </w:r>
          </w:p>
        </w:tc>
        <w:tc>
          <w:tcPr>
            <w:tcW w:w="3930" w:type="dxa"/>
            <w:shd w:val="clear" w:color="auto" w:fill="auto"/>
            <w:tcMar>
              <w:top w:w="100" w:type="dxa"/>
              <w:left w:w="100" w:type="dxa"/>
              <w:bottom w:w="100" w:type="dxa"/>
              <w:right w:w="100" w:type="dxa"/>
            </w:tcMar>
          </w:tcPr>
          <w:p w14:paraId="25B45FB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11D79760" w14:textId="77777777" w:rsidTr="00C71B51">
        <w:tc>
          <w:tcPr>
            <w:tcW w:w="3885" w:type="dxa"/>
            <w:shd w:val="clear" w:color="auto" w:fill="auto"/>
            <w:tcMar>
              <w:top w:w="100" w:type="dxa"/>
              <w:left w:w="100" w:type="dxa"/>
              <w:bottom w:w="100" w:type="dxa"/>
              <w:right w:w="100" w:type="dxa"/>
            </w:tcMar>
          </w:tcPr>
          <w:p w14:paraId="2D4155BC"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General costs of government </w:t>
            </w:r>
          </w:p>
        </w:tc>
        <w:tc>
          <w:tcPr>
            <w:tcW w:w="1905" w:type="dxa"/>
            <w:shd w:val="clear" w:color="auto" w:fill="auto"/>
            <w:tcMar>
              <w:top w:w="100" w:type="dxa"/>
              <w:left w:w="100" w:type="dxa"/>
              <w:bottom w:w="100" w:type="dxa"/>
              <w:right w:w="100" w:type="dxa"/>
            </w:tcMar>
          </w:tcPr>
          <w:p w14:paraId="3E82E7D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200.444</w:t>
            </w:r>
          </w:p>
        </w:tc>
        <w:tc>
          <w:tcPr>
            <w:tcW w:w="3930" w:type="dxa"/>
            <w:shd w:val="clear" w:color="auto" w:fill="auto"/>
            <w:tcMar>
              <w:top w:w="100" w:type="dxa"/>
              <w:left w:w="100" w:type="dxa"/>
              <w:bottom w:w="100" w:type="dxa"/>
              <w:right w:w="100" w:type="dxa"/>
            </w:tcMar>
          </w:tcPr>
          <w:p w14:paraId="3F03DA3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6F51CC0D" w14:textId="77777777" w:rsidTr="00C71B51">
        <w:tc>
          <w:tcPr>
            <w:tcW w:w="3885" w:type="dxa"/>
            <w:shd w:val="clear" w:color="auto" w:fill="auto"/>
            <w:tcMar>
              <w:top w:w="100" w:type="dxa"/>
              <w:left w:w="100" w:type="dxa"/>
              <w:bottom w:w="100" w:type="dxa"/>
              <w:right w:w="100" w:type="dxa"/>
            </w:tcMar>
          </w:tcPr>
          <w:p w14:paraId="16D6E91D"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Goods and services for personal use </w:t>
            </w:r>
          </w:p>
        </w:tc>
        <w:tc>
          <w:tcPr>
            <w:tcW w:w="1905" w:type="dxa"/>
            <w:shd w:val="clear" w:color="auto" w:fill="auto"/>
            <w:tcMar>
              <w:top w:w="100" w:type="dxa"/>
              <w:left w:w="100" w:type="dxa"/>
              <w:bottom w:w="100" w:type="dxa"/>
              <w:right w:w="100" w:type="dxa"/>
            </w:tcMar>
          </w:tcPr>
          <w:p w14:paraId="4DB9A99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200.445</w:t>
            </w:r>
          </w:p>
        </w:tc>
        <w:tc>
          <w:tcPr>
            <w:tcW w:w="3930" w:type="dxa"/>
            <w:shd w:val="clear" w:color="auto" w:fill="auto"/>
            <w:tcMar>
              <w:top w:w="100" w:type="dxa"/>
              <w:left w:w="100" w:type="dxa"/>
              <w:bottom w:w="100" w:type="dxa"/>
              <w:right w:w="100" w:type="dxa"/>
            </w:tcMar>
          </w:tcPr>
          <w:p w14:paraId="66ABFE9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(goods/services); allowable (housing) with restrictions</w:t>
            </w:r>
          </w:p>
        </w:tc>
      </w:tr>
      <w:tr w:rsidR="009E1558" w:rsidRPr="00635861" w14:paraId="5296DC23" w14:textId="77777777" w:rsidTr="00C71B51">
        <w:tc>
          <w:tcPr>
            <w:tcW w:w="3885" w:type="dxa"/>
            <w:shd w:val="clear" w:color="auto" w:fill="auto"/>
            <w:tcMar>
              <w:top w:w="100" w:type="dxa"/>
              <w:left w:w="100" w:type="dxa"/>
              <w:bottom w:w="100" w:type="dxa"/>
              <w:right w:w="100" w:type="dxa"/>
            </w:tcMar>
          </w:tcPr>
          <w:p w14:paraId="300E0496"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Idle facilities and idle capacity </w:t>
            </w:r>
          </w:p>
        </w:tc>
        <w:tc>
          <w:tcPr>
            <w:tcW w:w="1905" w:type="dxa"/>
            <w:shd w:val="clear" w:color="auto" w:fill="auto"/>
            <w:tcMar>
              <w:top w:w="100" w:type="dxa"/>
              <w:left w:w="100" w:type="dxa"/>
              <w:bottom w:w="100" w:type="dxa"/>
              <w:right w:w="100" w:type="dxa"/>
            </w:tcMar>
          </w:tcPr>
          <w:p w14:paraId="24D2BDB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200.446</w:t>
            </w:r>
          </w:p>
        </w:tc>
        <w:tc>
          <w:tcPr>
            <w:tcW w:w="3930" w:type="dxa"/>
            <w:shd w:val="clear" w:color="auto" w:fill="auto"/>
            <w:tcMar>
              <w:top w:w="100" w:type="dxa"/>
              <w:left w:w="100" w:type="dxa"/>
              <w:bottom w:w="100" w:type="dxa"/>
              <w:right w:w="100" w:type="dxa"/>
            </w:tcMar>
          </w:tcPr>
          <w:p w14:paraId="43C408E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Idle facilities - unallowable with exceptions; Idle capacity - allowable with restrictions </w:t>
            </w:r>
          </w:p>
        </w:tc>
      </w:tr>
      <w:tr w:rsidR="009E1558" w:rsidRPr="00635861" w14:paraId="11D41E28" w14:textId="77777777" w:rsidTr="00C71B51">
        <w:tc>
          <w:tcPr>
            <w:tcW w:w="3885" w:type="dxa"/>
            <w:shd w:val="clear" w:color="auto" w:fill="auto"/>
            <w:tcMar>
              <w:top w:w="100" w:type="dxa"/>
              <w:left w:w="100" w:type="dxa"/>
              <w:bottom w:w="100" w:type="dxa"/>
              <w:right w:w="100" w:type="dxa"/>
            </w:tcMar>
          </w:tcPr>
          <w:p w14:paraId="00881079"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Insurance and indemnification </w:t>
            </w:r>
          </w:p>
        </w:tc>
        <w:tc>
          <w:tcPr>
            <w:tcW w:w="1905" w:type="dxa"/>
            <w:shd w:val="clear" w:color="auto" w:fill="auto"/>
            <w:tcMar>
              <w:top w:w="100" w:type="dxa"/>
              <w:left w:w="100" w:type="dxa"/>
              <w:bottom w:w="100" w:type="dxa"/>
              <w:right w:w="100" w:type="dxa"/>
            </w:tcMar>
          </w:tcPr>
          <w:p w14:paraId="7EEC98B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200.447</w:t>
            </w:r>
          </w:p>
        </w:tc>
        <w:tc>
          <w:tcPr>
            <w:tcW w:w="3930" w:type="dxa"/>
            <w:shd w:val="clear" w:color="auto" w:fill="auto"/>
            <w:tcMar>
              <w:top w:w="100" w:type="dxa"/>
              <w:left w:w="100" w:type="dxa"/>
              <w:bottom w:w="100" w:type="dxa"/>
              <w:right w:w="100" w:type="dxa"/>
            </w:tcMar>
          </w:tcPr>
          <w:p w14:paraId="55AABAF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EFE54A6" w14:textId="77777777" w:rsidTr="00C71B51">
        <w:tc>
          <w:tcPr>
            <w:tcW w:w="3885" w:type="dxa"/>
            <w:shd w:val="clear" w:color="auto" w:fill="auto"/>
            <w:tcMar>
              <w:top w:w="100" w:type="dxa"/>
              <w:left w:w="100" w:type="dxa"/>
              <w:bottom w:w="100" w:type="dxa"/>
              <w:right w:w="100" w:type="dxa"/>
            </w:tcMar>
          </w:tcPr>
          <w:p w14:paraId="11959863"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Intellectual property </w:t>
            </w:r>
          </w:p>
        </w:tc>
        <w:tc>
          <w:tcPr>
            <w:tcW w:w="1905" w:type="dxa"/>
            <w:shd w:val="clear" w:color="auto" w:fill="auto"/>
            <w:tcMar>
              <w:top w:w="100" w:type="dxa"/>
              <w:left w:w="100" w:type="dxa"/>
              <w:bottom w:w="100" w:type="dxa"/>
              <w:right w:w="100" w:type="dxa"/>
            </w:tcMar>
          </w:tcPr>
          <w:p w14:paraId="3303B5C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200.448</w:t>
            </w:r>
          </w:p>
        </w:tc>
        <w:tc>
          <w:tcPr>
            <w:tcW w:w="3930" w:type="dxa"/>
            <w:shd w:val="clear" w:color="auto" w:fill="auto"/>
            <w:tcMar>
              <w:top w:w="100" w:type="dxa"/>
              <w:left w:w="100" w:type="dxa"/>
              <w:bottom w:w="100" w:type="dxa"/>
              <w:right w:w="100" w:type="dxa"/>
            </w:tcMar>
          </w:tcPr>
          <w:p w14:paraId="306071E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F6F840E" w14:textId="77777777" w:rsidTr="00C71B51">
        <w:tc>
          <w:tcPr>
            <w:tcW w:w="3885" w:type="dxa"/>
            <w:shd w:val="clear" w:color="auto" w:fill="auto"/>
            <w:tcMar>
              <w:top w:w="100" w:type="dxa"/>
              <w:left w:w="100" w:type="dxa"/>
              <w:bottom w:w="100" w:type="dxa"/>
              <w:right w:w="100" w:type="dxa"/>
            </w:tcMar>
          </w:tcPr>
          <w:p w14:paraId="7E026B2C"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Interest </w:t>
            </w:r>
          </w:p>
        </w:tc>
        <w:tc>
          <w:tcPr>
            <w:tcW w:w="1905" w:type="dxa"/>
            <w:shd w:val="clear" w:color="auto" w:fill="auto"/>
            <w:tcMar>
              <w:top w:w="100" w:type="dxa"/>
              <w:left w:w="100" w:type="dxa"/>
              <w:bottom w:w="100" w:type="dxa"/>
              <w:right w:w="100" w:type="dxa"/>
            </w:tcMar>
          </w:tcPr>
          <w:p w14:paraId="3DD675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200.449</w:t>
            </w:r>
          </w:p>
        </w:tc>
        <w:tc>
          <w:tcPr>
            <w:tcW w:w="3930" w:type="dxa"/>
            <w:shd w:val="clear" w:color="auto" w:fill="auto"/>
            <w:tcMar>
              <w:top w:w="100" w:type="dxa"/>
              <w:left w:w="100" w:type="dxa"/>
              <w:bottom w:w="100" w:type="dxa"/>
              <w:right w:w="100" w:type="dxa"/>
            </w:tcMar>
          </w:tcPr>
          <w:p w14:paraId="6762414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0FFEB21" w14:textId="77777777" w:rsidTr="00C71B51">
        <w:tc>
          <w:tcPr>
            <w:tcW w:w="3885" w:type="dxa"/>
            <w:shd w:val="clear" w:color="auto" w:fill="auto"/>
            <w:tcMar>
              <w:top w:w="100" w:type="dxa"/>
              <w:left w:w="100" w:type="dxa"/>
              <w:bottom w:w="100" w:type="dxa"/>
              <w:right w:w="100" w:type="dxa"/>
            </w:tcMar>
          </w:tcPr>
          <w:p w14:paraId="3429F490"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Lobbying </w:t>
            </w:r>
          </w:p>
        </w:tc>
        <w:tc>
          <w:tcPr>
            <w:tcW w:w="1905" w:type="dxa"/>
            <w:shd w:val="clear" w:color="auto" w:fill="auto"/>
            <w:tcMar>
              <w:top w:w="100" w:type="dxa"/>
              <w:left w:w="100" w:type="dxa"/>
              <w:bottom w:w="100" w:type="dxa"/>
              <w:right w:w="100" w:type="dxa"/>
            </w:tcMar>
          </w:tcPr>
          <w:p w14:paraId="48980C3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200.450</w:t>
            </w:r>
          </w:p>
        </w:tc>
        <w:tc>
          <w:tcPr>
            <w:tcW w:w="3930" w:type="dxa"/>
            <w:shd w:val="clear" w:color="auto" w:fill="auto"/>
            <w:tcMar>
              <w:top w:w="100" w:type="dxa"/>
              <w:left w:w="100" w:type="dxa"/>
              <w:bottom w:w="100" w:type="dxa"/>
              <w:right w:w="100" w:type="dxa"/>
            </w:tcMar>
          </w:tcPr>
          <w:p w14:paraId="0C1A1E0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584831DA" w14:textId="77777777" w:rsidTr="00C71B51">
        <w:tc>
          <w:tcPr>
            <w:tcW w:w="3885" w:type="dxa"/>
            <w:shd w:val="clear" w:color="auto" w:fill="auto"/>
            <w:tcMar>
              <w:top w:w="100" w:type="dxa"/>
              <w:left w:w="100" w:type="dxa"/>
              <w:bottom w:w="100" w:type="dxa"/>
              <w:right w:w="100" w:type="dxa"/>
            </w:tcMar>
          </w:tcPr>
          <w:p w14:paraId="54EC4E58"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Losses on other awards or contracts </w:t>
            </w:r>
          </w:p>
        </w:tc>
        <w:tc>
          <w:tcPr>
            <w:tcW w:w="1905" w:type="dxa"/>
            <w:shd w:val="clear" w:color="auto" w:fill="auto"/>
            <w:tcMar>
              <w:top w:w="100" w:type="dxa"/>
              <w:left w:w="100" w:type="dxa"/>
              <w:bottom w:w="100" w:type="dxa"/>
              <w:right w:w="100" w:type="dxa"/>
            </w:tcMar>
          </w:tcPr>
          <w:p w14:paraId="08865B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200.451</w:t>
            </w:r>
          </w:p>
        </w:tc>
        <w:tc>
          <w:tcPr>
            <w:tcW w:w="3930" w:type="dxa"/>
            <w:shd w:val="clear" w:color="auto" w:fill="auto"/>
            <w:tcMar>
              <w:top w:w="100" w:type="dxa"/>
              <w:left w:w="100" w:type="dxa"/>
              <w:bottom w:w="100" w:type="dxa"/>
              <w:right w:w="100" w:type="dxa"/>
            </w:tcMar>
          </w:tcPr>
          <w:p w14:paraId="256CC18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Unallowable (however, they are required to be included in the indirect cost rate base for </w:t>
            </w:r>
            <w:r w:rsidRPr="00D210E4">
              <w:rPr>
                <w:rFonts w:asciiTheme="majorHAnsi" w:eastAsia="Times New Roman" w:hAnsiTheme="majorHAnsi" w:cstheme="majorHAnsi"/>
              </w:rPr>
              <w:lastRenderedPageBreak/>
              <w:t>allocation of indirect costs)</w:t>
            </w:r>
          </w:p>
        </w:tc>
      </w:tr>
      <w:tr w:rsidR="009E1558" w:rsidRPr="00635861" w14:paraId="0B8D4A5A" w14:textId="77777777" w:rsidTr="00C71B51">
        <w:tc>
          <w:tcPr>
            <w:tcW w:w="3885" w:type="dxa"/>
            <w:shd w:val="clear" w:color="auto" w:fill="auto"/>
            <w:tcMar>
              <w:top w:w="100" w:type="dxa"/>
              <w:left w:w="100" w:type="dxa"/>
              <w:bottom w:w="100" w:type="dxa"/>
              <w:right w:w="100" w:type="dxa"/>
            </w:tcMar>
          </w:tcPr>
          <w:p w14:paraId="64AD56AE"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lastRenderedPageBreak/>
              <w:t xml:space="preserve">Maintenance and repair costs </w:t>
            </w:r>
          </w:p>
        </w:tc>
        <w:tc>
          <w:tcPr>
            <w:tcW w:w="1905" w:type="dxa"/>
            <w:shd w:val="clear" w:color="auto" w:fill="auto"/>
            <w:tcMar>
              <w:top w:w="100" w:type="dxa"/>
              <w:left w:w="100" w:type="dxa"/>
              <w:bottom w:w="100" w:type="dxa"/>
              <w:right w:w="100" w:type="dxa"/>
            </w:tcMar>
          </w:tcPr>
          <w:p w14:paraId="68E32CE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200.452</w:t>
            </w:r>
          </w:p>
        </w:tc>
        <w:tc>
          <w:tcPr>
            <w:tcW w:w="3930" w:type="dxa"/>
            <w:shd w:val="clear" w:color="auto" w:fill="auto"/>
            <w:tcMar>
              <w:top w:w="100" w:type="dxa"/>
              <w:left w:w="100" w:type="dxa"/>
              <w:bottom w:w="100" w:type="dxa"/>
              <w:right w:w="100" w:type="dxa"/>
            </w:tcMar>
          </w:tcPr>
          <w:p w14:paraId="6E3F40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25D30DB" w14:textId="77777777" w:rsidTr="00C71B51">
        <w:tc>
          <w:tcPr>
            <w:tcW w:w="3885" w:type="dxa"/>
            <w:shd w:val="clear" w:color="auto" w:fill="auto"/>
            <w:tcMar>
              <w:top w:w="100" w:type="dxa"/>
              <w:left w:w="100" w:type="dxa"/>
              <w:bottom w:w="100" w:type="dxa"/>
              <w:right w:w="100" w:type="dxa"/>
            </w:tcMar>
          </w:tcPr>
          <w:p w14:paraId="466A1013" w14:textId="77777777" w:rsidR="009E1558" w:rsidRPr="00D210E4" w:rsidRDefault="009E1558" w:rsidP="00C71B51">
            <w:pPr>
              <w:widowControl w:val="0"/>
              <w:spacing w:line="229" w:lineRule="auto"/>
              <w:ind w:left="118" w:right="46" w:hanging="3"/>
              <w:rPr>
                <w:rFonts w:asciiTheme="majorHAnsi" w:eastAsia="Times" w:hAnsiTheme="majorHAnsi" w:cstheme="majorHAnsi"/>
              </w:rPr>
            </w:pPr>
            <w:r w:rsidRPr="00D210E4">
              <w:rPr>
                <w:rFonts w:asciiTheme="majorHAnsi" w:eastAsia="Times" w:hAnsiTheme="majorHAnsi" w:cstheme="majorHAnsi"/>
              </w:rPr>
              <w:t xml:space="preserve">Materials and supplies costs, including costs of computing devices </w:t>
            </w:r>
          </w:p>
        </w:tc>
        <w:tc>
          <w:tcPr>
            <w:tcW w:w="1905" w:type="dxa"/>
            <w:shd w:val="clear" w:color="auto" w:fill="auto"/>
            <w:tcMar>
              <w:top w:w="100" w:type="dxa"/>
              <w:left w:w="100" w:type="dxa"/>
              <w:bottom w:w="100" w:type="dxa"/>
              <w:right w:w="100" w:type="dxa"/>
            </w:tcMar>
          </w:tcPr>
          <w:p w14:paraId="6DF7774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200.453</w:t>
            </w:r>
          </w:p>
        </w:tc>
        <w:tc>
          <w:tcPr>
            <w:tcW w:w="3930" w:type="dxa"/>
            <w:shd w:val="clear" w:color="auto" w:fill="auto"/>
            <w:tcMar>
              <w:top w:w="100" w:type="dxa"/>
              <w:left w:w="100" w:type="dxa"/>
              <w:bottom w:w="100" w:type="dxa"/>
              <w:right w:w="100" w:type="dxa"/>
            </w:tcMar>
          </w:tcPr>
          <w:p w14:paraId="49A7B87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F292CB0" w14:textId="77777777" w:rsidTr="00C71B51">
        <w:tc>
          <w:tcPr>
            <w:tcW w:w="3885" w:type="dxa"/>
            <w:shd w:val="clear" w:color="auto" w:fill="auto"/>
            <w:tcMar>
              <w:top w:w="100" w:type="dxa"/>
              <w:left w:w="100" w:type="dxa"/>
              <w:bottom w:w="100" w:type="dxa"/>
              <w:right w:w="100" w:type="dxa"/>
            </w:tcMar>
          </w:tcPr>
          <w:p w14:paraId="0C282A29" w14:textId="77777777" w:rsidR="009E1558" w:rsidRPr="00D210E4" w:rsidRDefault="009E1558" w:rsidP="00C71B51">
            <w:pPr>
              <w:widowControl w:val="0"/>
              <w:spacing w:line="230" w:lineRule="auto"/>
              <w:ind w:left="121" w:right="45" w:hanging="6"/>
              <w:rPr>
                <w:rFonts w:asciiTheme="majorHAnsi" w:eastAsia="Times" w:hAnsiTheme="majorHAnsi" w:cstheme="majorHAnsi"/>
              </w:rPr>
            </w:pPr>
            <w:r w:rsidRPr="00D210E4">
              <w:rPr>
                <w:rFonts w:asciiTheme="majorHAnsi" w:eastAsia="Times" w:hAnsiTheme="majorHAnsi" w:cstheme="majorHAnsi"/>
              </w:rPr>
              <w:t xml:space="preserve">Memberships, subscriptions, and professional activity costs </w:t>
            </w:r>
          </w:p>
        </w:tc>
        <w:tc>
          <w:tcPr>
            <w:tcW w:w="1905" w:type="dxa"/>
            <w:shd w:val="clear" w:color="auto" w:fill="auto"/>
            <w:tcMar>
              <w:top w:w="100" w:type="dxa"/>
              <w:left w:w="100" w:type="dxa"/>
              <w:bottom w:w="100" w:type="dxa"/>
              <w:right w:w="100" w:type="dxa"/>
            </w:tcMar>
          </w:tcPr>
          <w:p w14:paraId="7BE630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200.454</w:t>
            </w:r>
          </w:p>
        </w:tc>
        <w:tc>
          <w:tcPr>
            <w:tcW w:w="3930" w:type="dxa"/>
            <w:shd w:val="clear" w:color="auto" w:fill="auto"/>
            <w:tcMar>
              <w:top w:w="100" w:type="dxa"/>
              <w:left w:w="100" w:type="dxa"/>
              <w:bottom w:w="100" w:type="dxa"/>
              <w:right w:w="100" w:type="dxa"/>
            </w:tcMar>
          </w:tcPr>
          <w:p w14:paraId="48D5DA6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unallowable for lobbying organizations </w:t>
            </w:r>
          </w:p>
        </w:tc>
      </w:tr>
      <w:tr w:rsidR="009E1558" w:rsidRPr="00635861" w14:paraId="1303873C" w14:textId="77777777" w:rsidTr="00C71B51">
        <w:tc>
          <w:tcPr>
            <w:tcW w:w="3885" w:type="dxa"/>
            <w:shd w:val="clear" w:color="auto" w:fill="auto"/>
            <w:tcMar>
              <w:top w:w="100" w:type="dxa"/>
              <w:left w:w="100" w:type="dxa"/>
              <w:bottom w:w="100" w:type="dxa"/>
              <w:right w:w="100" w:type="dxa"/>
            </w:tcMar>
          </w:tcPr>
          <w:p w14:paraId="79A43267"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Organization costs </w:t>
            </w:r>
          </w:p>
        </w:tc>
        <w:tc>
          <w:tcPr>
            <w:tcW w:w="1905" w:type="dxa"/>
            <w:shd w:val="clear" w:color="auto" w:fill="auto"/>
            <w:tcMar>
              <w:top w:w="100" w:type="dxa"/>
              <w:left w:w="100" w:type="dxa"/>
              <w:bottom w:w="100" w:type="dxa"/>
              <w:right w:w="100" w:type="dxa"/>
            </w:tcMar>
          </w:tcPr>
          <w:p w14:paraId="2B2E8AC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200.455</w:t>
            </w:r>
          </w:p>
        </w:tc>
        <w:tc>
          <w:tcPr>
            <w:tcW w:w="3930" w:type="dxa"/>
            <w:shd w:val="clear" w:color="auto" w:fill="auto"/>
            <w:tcMar>
              <w:top w:w="100" w:type="dxa"/>
              <w:left w:w="100" w:type="dxa"/>
              <w:bottom w:w="100" w:type="dxa"/>
              <w:right w:w="100" w:type="dxa"/>
            </w:tcMar>
          </w:tcPr>
          <w:p w14:paraId="338F141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except federal prior approval</w:t>
            </w:r>
          </w:p>
        </w:tc>
      </w:tr>
      <w:tr w:rsidR="009E1558" w:rsidRPr="00635861" w14:paraId="5A25DD2C" w14:textId="77777777" w:rsidTr="00C71B51">
        <w:tc>
          <w:tcPr>
            <w:tcW w:w="3885" w:type="dxa"/>
            <w:shd w:val="clear" w:color="auto" w:fill="auto"/>
            <w:tcMar>
              <w:top w:w="100" w:type="dxa"/>
              <w:left w:w="100" w:type="dxa"/>
              <w:bottom w:w="100" w:type="dxa"/>
              <w:right w:w="100" w:type="dxa"/>
            </w:tcMar>
          </w:tcPr>
          <w:p w14:paraId="0967D5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Participant support costs </w:t>
            </w:r>
          </w:p>
        </w:tc>
        <w:tc>
          <w:tcPr>
            <w:tcW w:w="1905" w:type="dxa"/>
            <w:shd w:val="clear" w:color="auto" w:fill="auto"/>
            <w:tcMar>
              <w:top w:w="100" w:type="dxa"/>
              <w:left w:w="100" w:type="dxa"/>
              <w:bottom w:w="100" w:type="dxa"/>
              <w:right w:w="100" w:type="dxa"/>
            </w:tcMar>
          </w:tcPr>
          <w:p w14:paraId="6F746FA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200.456</w:t>
            </w:r>
          </w:p>
        </w:tc>
        <w:tc>
          <w:tcPr>
            <w:tcW w:w="3930" w:type="dxa"/>
            <w:shd w:val="clear" w:color="auto" w:fill="auto"/>
            <w:tcMar>
              <w:top w:w="100" w:type="dxa"/>
              <w:left w:w="100" w:type="dxa"/>
              <w:bottom w:w="100" w:type="dxa"/>
              <w:right w:w="100" w:type="dxa"/>
            </w:tcMar>
          </w:tcPr>
          <w:p w14:paraId="60EC091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prior approval of the federal awarding agency</w:t>
            </w:r>
          </w:p>
        </w:tc>
      </w:tr>
      <w:tr w:rsidR="009E1558" w:rsidRPr="00635861" w14:paraId="06C2E6A1" w14:textId="77777777" w:rsidTr="00C71B51">
        <w:tc>
          <w:tcPr>
            <w:tcW w:w="3885" w:type="dxa"/>
            <w:shd w:val="clear" w:color="auto" w:fill="auto"/>
            <w:tcMar>
              <w:top w:w="100" w:type="dxa"/>
              <w:left w:w="100" w:type="dxa"/>
              <w:bottom w:w="100" w:type="dxa"/>
              <w:right w:w="100" w:type="dxa"/>
            </w:tcMar>
          </w:tcPr>
          <w:p w14:paraId="79A2B9B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Plant and security costs </w:t>
            </w:r>
          </w:p>
        </w:tc>
        <w:tc>
          <w:tcPr>
            <w:tcW w:w="1905" w:type="dxa"/>
            <w:shd w:val="clear" w:color="auto" w:fill="auto"/>
            <w:tcMar>
              <w:top w:w="100" w:type="dxa"/>
              <w:left w:w="100" w:type="dxa"/>
              <w:bottom w:w="100" w:type="dxa"/>
              <w:right w:w="100" w:type="dxa"/>
            </w:tcMar>
          </w:tcPr>
          <w:p w14:paraId="72BAE44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200.457</w:t>
            </w:r>
          </w:p>
        </w:tc>
        <w:tc>
          <w:tcPr>
            <w:tcW w:w="3930" w:type="dxa"/>
            <w:shd w:val="clear" w:color="auto" w:fill="auto"/>
            <w:tcMar>
              <w:top w:w="100" w:type="dxa"/>
              <w:left w:w="100" w:type="dxa"/>
              <w:bottom w:w="100" w:type="dxa"/>
              <w:right w:w="100" w:type="dxa"/>
            </w:tcMar>
          </w:tcPr>
          <w:p w14:paraId="06D3CF43"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capital expenditures are subject to </w:t>
            </w:r>
            <w:r w:rsidRPr="00D210E4">
              <w:rPr>
                <w:rFonts w:asciiTheme="majorHAnsi" w:eastAsia="Times" w:hAnsiTheme="majorHAnsi" w:cstheme="majorHAnsi"/>
              </w:rPr>
              <w:t>§ 200.439</w:t>
            </w:r>
          </w:p>
        </w:tc>
      </w:tr>
      <w:tr w:rsidR="009E1558" w:rsidRPr="00635861" w14:paraId="298F7604" w14:textId="77777777" w:rsidTr="00C71B51">
        <w:tc>
          <w:tcPr>
            <w:tcW w:w="3885" w:type="dxa"/>
            <w:shd w:val="clear" w:color="auto" w:fill="auto"/>
            <w:tcMar>
              <w:top w:w="100" w:type="dxa"/>
              <w:left w:w="100" w:type="dxa"/>
              <w:bottom w:w="100" w:type="dxa"/>
              <w:right w:w="100" w:type="dxa"/>
            </w:tcMar>
          </w:tcPr>
          <w:p w14:paraId="7E16652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Pre-award costs </w:t>
            </w:r>
          </w:p>
        </w:tc>
        <w:tc>
          <w:tcPr>
            <w:tcW w:w="1905" w:type="dxa"/>
            <w:shd w:val="clear" w:color="auto" w:fill="auto"/>
            <w:tcMar>
              <w:top w:w="100" w:type="dxa"/>
              <w:left w:w="100" w:type="dxa"/>
              <w:bottom w:w="100" w:type="dxa"/>
              <w:right w:w="100" w:type="dxa"/>
            </w:tcMar>
          </w:tcPr>
          <w:p w14:paraId="3C34AC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200.458</w:t>
            </w:r>
          </w:p>
        </w:tc>
        <w:tc>
          <w:tcPr>
            <w:tcW w:w="3930" w:type="dxa"/>
            <w:shd w:val="clear" w:color="auto" w:fill="auto"/>
            <w:tcMar>
              <w:top w:w="100" w:type="dxa"/>
              <w:left w:w="100" w:type="dxa"/>
              <w:bottom w:w="100" w:type="dxa"/>
              <w:right w:w="100" w:type="dxa"/>
            </w:tcMar>
          </w:tcPr>
          <w:p w14:paraId="4BD79C2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if consistent with other </w:t>
            </w:r>
            <w:proofErr w:type="spellStart"/>
            <w:r w:rsidRPr="00D210E4">
              <w:rPr>
                <w:rFonts w:asciiTheme="majorHAnsi" w:eastAsia="Times New Roman" w:hAnsiTheme="majorHAnsi" w:cstheme="majorHAnsi"/>
              </w:rPr>
              <w:t>allowabilities</w:t>
            </w:r>
            <w:proofErr w:type="spellEnd"/>
            <w:r w:rsidRPr="00D210E4">
              <w:rPr>
                <w:rFonts w:asciiTheme="majorHAnsi" w:eastAsia="Times New Roman" w:hAnsiTheme="majorHAnsi" w:cstheme="majorHAnsi"/>
              </w:rPr>
              <w:t xml:space="preserve"> and with prior approval of the federal awarding agency</w:t>
            </w:r>
          </w:p>
        </w:tc>
      </w:tr>
      <w:tr w:rsidR="009E1558" w:rsidRPr="00635861" w14:paraId="088F7E03" w14:textId="77777777" w:rsidTr="00C71B51">
        <w:tc>
          <w:tcPr>
            <w:tcW w:w="3885" w:type="dxa"/>
            <w:shd w:val="clear" w:color="auto" w:fill="auto"/>
            <w:tcMar>
              <w:top w:w="100" w:type="dxa"/>
              <w:left w:w="100" w:type="dxa"/>
              <w:bottom w:w="100" w:type="dxa"/>
              <w:right w:w="100" w:type="dxa"/>
            </w:tcMar>
          </w:tcPr>
          <w:p w14:paraId="7FAF411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Professional services costs </w:t>
            </w:r>
          </w:p>
        </w:tc>
        <w:tc>
          <w:tcPr>
            <w:tcW w:w="1905" w:type="dxa"/>
            <w:shd w:val="clear" w:color="auto" w:fill="auto"/>
            <w:tcMar>
              <w:top w:w="100" w:type="dxa"/>
              <w:left w:w="100" w:type="dxa"/>
              <w:bottom w:w="100" w:type="dxa"/>
              <w:right w:w="100" w:type="dxa"/>
            </w:tcMar>
          </w:tcPr>
          <w:p w14:paraId="016197D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200.459</w:t>
            </w:r>
          </w:p>
        </w:tc>
        <w:tc>
          <w:tcPr>
            <w:tcW w:w="3930" w:type="dxa"/>
            <w:shd w:val="clear" w:color="auto" w:fill="auto"/>
            <w:tcMar>
              <w:top w:w="100" w:type="dxa"/>
              <w:left w:w="100" w:type="dxa"/>
              <w:bottom w:w="100" w:type="dxa"/>
              <w:right w:w="100" w:type="dxa"/>
            </w:tcMar>
          </w:tcPr>
          <w:p w14:paraId="180B678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BCB31C" w14:textId="77777777" w:rsidTr="00C71B51">
        <w:tc>
          <w:tcPr>
            <w:tcW w:w="3885" w:type="dxa"/>
            <w:shd w:val="clear" w:color="auto" w:fill="auto"/>
            <w:tcMar>
              <w:top w:w="100" w:type="dxa"/>
              <w:left w:w="100" w:type="dxa"/>
              <w:bottom w:w="100" w:type="dxa"/>
              <w:right w:w="100" w:type="dxa"/>
            </w:tcMar>
          </w:tcPr>
          <w:p w14:paraId="03E20183"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Proposal costs </w:t>
            </w:r>
          </w:p>
        </w:tc>
        <w:tc>
          <w:tcPr>
            <w:tcW w:w="1905" w:type="dxa"/>
            <w:shd w:val="clear" w:color="auto" w:fill="auto"/>
            <w:tcMar>
              <w:top w:w="100" w:type="dxa"/>
              <w:left w:w="100" w:type="dxa"/>
              <w:bottom w:w="100" w:type="dxa"/>
              <w:right w:w="100" w:type="dxa"/>
            </w:tcMar>
          </w:tcPr>
          <w:p w14:paraId="1060B4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200.460</w:t>
            </w:r>
          </w:p>
        </w:tc>
        <w:tc>
          <w:tcPr>
            <w:tcW w:w="3930" w:type="dxa"/>
            <w:shd w:val="clear" w:color="auto" w:fill="auto"/>
            <w:tcMar>
              <w:top w:w="100" w:type="dxa"/>
              <w:left w:w="100" w:type="dxa"/>
              <w:bottom w:w="100" w:type="dxa"/>
              <w:right w:w="100" w:type="dxa"/>
            </w:tcMar>
          </w:tcPr>
          <w:p w14:paraId="68EDF4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6F07835" w14:textId="77777777" w:rsidTr="00C71B51">
        <w:tc>
          <w:tcPr>
            <w:tcW w:w="3885" w:type="dxa"/>
            <w:shd w:val="clear" w:color="auto" w:fill="auto"/>
            <w:tcMar>
              <w:top w:w="100" w:type="dxa"/>
              <w:left w:w="100" w:type="dxa"/>
              <w:bottom w:w="100" w:type="dxa"/>
              <w:right w:w="100" w:type="dxa"/>
            </w:tcMar>
          </w:tcPr>
          <w:p w14:paraId="612FEBA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Publication and printing costs </w:t>
            </w:r>
          </w:p>
        </w:tc>
        <w:tc>
          <w:tcPr>
            <w:tcW w:w="1905" w:type="dxa"/>
            <w:shd w:val="clear" w:color="auto" w:fill="auto"/>
            <w:tcMar>
              <w:top w:w="100" w:type="dxa"/>
              <w:left w:w="100" w:type="dxa"/>
              <w:bottom w:w="100" w:type="dxa"/>
              <w:right w:w="100" w:type="dxa"/>
            </w:tcMar>
          </w:tcPr>
          <w:p w14:paraId="06710FA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200.461</w:t>
            </w:r>
          </w:p>
        </w:tc>
        <w:tc>
          <w:tcPr>
            <w:tcW w:w="3930" w:type="dxa"/>
            <w:shd w:val="clear" w:color="auto" w:fill="auto"/>
            <w:tcMar>
              <w:top w:w="100" w:type="dxa"/>
              <w:left w:w="100" w:type="dxa"/>
              <w:bottom w:w="100" w:type="dxa"/>
              <w:right w:w="100" w:type="dxa"/>
            </w:tcMar>
          </w:tcPr>
          <w:p w14:paraId="3A7288A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61A0906" w14:textId="77777777" w:rsidTr="00C71B51">
        <w:tc>
          <w:tcPr>
            <w:tcW w:w="3885" w:type="dxa"/>
            <w:shd w:val="clear" w:color="auto" w:fill="auto"/>
            <w:tcMar>
              <w:top w:w="100" w:type="dxa"/>
              <w:left w:w="100" w:type="dxa"/>
              <w:bottom w:w="100" w:type="dxa"/>
              <w:right w:w="100" w:type="dxa"/>
            </w:tcMar>
          </w:tcPr>
          <w:p w14:paraId="62405C6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Rearrangement and reconversion costs </w:t>
            </w:r>
          </w:p>
        </w:tc>
        <w:tc>
          <w:tcPr>
            <w:tcW w:w="1905" w:type="dxa"/>
            <w:shd w:val="clear" w:color="auto" w:fill="auto"/>
            <w:tcMar>
              <w:top w:w="100" w:type="dxa"/>
              <w:left w:w="100" w:type="dxa"/>
              <w:bottom w:w="100" w:type="dxa"/>
              <w:right w:w="100" w:type="dxa"/>
            </w:tcMar>
          </w:tcPr>
          <w:p w14:paraId="5A268CE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200.462</w:t>
            </w:r>
          </w:p>
        </w:tc>
        <w:tc>
          <w:tcPr>
            <w:tcW w:w="3930" w:type="dxa"/>
            <w:shd w:val="clear" w:color="auto" w:fill="auto"/>
            <w:tcMar>
              <w:top w:w="100" w:type="dxa"/>
              <w:left w:w="100" w:type="dxa"/>
              <w:bottom w:w="100" w:type="dxa"/>
              <w:right w:w="100" w:type="dxa"/>
            </w:tcMar>
          </w:tcPr>
          <w:p w14:paraId="13F8427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(ordinary and normal)</w:t>
            </w:r>
          </w:p>
        </w:tc>
      </w:tr>
      <w:tr w:rsidR="009E1558" w:rsidRPr="00635861" w14:paraId="13599839" w14:textId="77777777" w:rsidTr="00C71B51">
        <w:tc>
          <w:tcPr>
            <w:tcW w:w="3885" w:type="dxa"/>
            <w:shd w:val="clear" w:color="auto" w:fill="auto"/>
            <w:tcMar>
              <w:top w:w="100" w:type="dxa"/>
              <w:left w:w="100" w:type="dxa"/>
              <w:bottom w:w="100" w:type="dxa"/>
              <w:right w:w="100" w:type="dxa"/>
            </w:tcMar>
          </w:tcPr>
          <w:p w14:paraId="1FD8FD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Recruiting costs </w:t>
            </w:r>
          </w:p>
        </w:tc>
        <w:tc>
          <w:tcPr>
            <w:tcW w:w="1905" w:type="dxa"/>
            <w:shd w:val="clear" w:color="auto" w:fill="auto"/>
            <w:tcMar>
              <w:top w:w="100" w:type="dxa"/>
              <w:left w:w="100" w:type="dxa"/>
              <w:bottom w:w="100" w:type="dxa"/>
              <w:right w:w="100" w:type="dxa"/>
            </w:tcMar>
          </w:tcPr>
          <w:p w14:paraId="62800F8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200.463</w:t>
            </w:r>
          </w:p>
        </w:tc>
        <w:tc>
          <w:tcPr>
            <w:tcW w:w="3930" w:type="dxa"/>
            <w:shd w:val="clear" w:color="auto" w:fill="auto"/>
            <w:tcMar>
              <w:top w:w="100" w:type="dxa"/>
              <w:left w:w="100" w:type="dxa"/>
              <w:bottom w:w="100" w:type="dxa"/>
              <w:right w:w="100" w:type="dxa"/>
            </w:tcMar>
          </w:tcPr>
          <w:p w14:paraId="65E167D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19DC875" w14:textId="77777777" w:rsidTr="00C71B51">
        <w:tc>
          <w:tcPr>
            <w:tcW w:w="3885" w:type="dxa"/>
            <w:shd w:val="clear" w:color="auto" w:fill="auto"/>
            <w:tcMar>
              <w:top w:w="100" w:type="dxa"/>
              <w:left w:w="100" w:type="dxa"/>
              <w:bottom w:w="100" w:type="dxa"/>
              <w:right w:w="100" w:type="dxa"/>
            </w:tcMar>
          </w:tcPr>
          <w:p w14:paraId="6F31728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Relocation costs of employees </w:t>
            </w:r>
          </w:p>
        </w:tc>
        <w:tc>
          <w:tcPr>
            <w:tcW w:w="1905" w:type="dxa"/>
            <w:shd w:val="clear" w:color="auto" w:fill="auto"/>
            <w:tcMar>
              <w:top w:w="100" w:type="dxa"/>
              <w:left w:w="100" w:type="dxa"/>
              <w:bottom w:w="100" w:type="dxa"/>
              <w:right w:w="100" w:type="dxa"/>
            </w:tcMar>
          </w:tcPr>
          <w:p w14:paraId="5702E11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200.464</w:t>
            </w:r>
          </w:p>
        </w:tc>
        <w:tc>
          <w:tcPr>
            <w:tcW w:w="3930" w:type="dxa"/>
            <w:shd w:val="clear" w:color="auto" w:fill="auto"/>
            <w:tcMar>
              <w:top w:w="100" w:type="dxa"/>
              <w:left w:w="100" w:type="dxa"/>
              <w:bottom w:w="100" w:type="dxa"/>
              <w:right w:w="100" w:type="dxa"/>
            </w:tcMar>
          </w:tcPr>
          <w:p w14:paraId="2481C63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5D89F0" w14:textId="77777777" w:rsidTr="00C71B51">
        <w:tc>
          <w:tcPr>
            <w:tcW w:w="3885" w:type="dxa"/>
            <w:shd w:val="clear" w:color="auto" w:fill="auto"/>
            <w:tcMar>
              <w:top w:w="100" w:type="dxa"/>
              <w:left w:w="100" w:type="dxa"/>
              <w:bottom w:w="100" w:type="dxa"/>
              <w:right w:w="100" w:type="dxa"/>
            </w:tcMar>
          </w:tcPr>
          <w:p w14:paraId="3D1FE4E1"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Rental costs of real property and equipment </w:t>
            </w:r>
          </w:p>
        </w:tc>
        <w:tc>
          <w:tcPr>
            <w:tcW w:w="1905" w:type="dxa"/>
            <w:shd w:val="clear" w:color="auto" w:fill="auto"/>
            <w:tcMar>
              <w:top w:w="100" w:type="dxa"/>
              <w:left w:w="100" w:type="dxa"/>
              <w:bottom w:w="100" w:type="dxa"/>
              <w:right w:w="100" w:type="dxa"/>
            </w:tcMar>
          </w:tcPr>
          <w:p w14:paraId="0B9C64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200.465</w:t>
            </w:r>
          </w:p>
        </w:tc>
        <w:tc>
          <w:tcPr>
            <w:tcW w:w="3930" w:type="dxa"/>
            <w:shd w:val="clear" w:color="auto" w:fill="auto"/>
            <w:tcMar>
              <w:top w:w="100" w:type="dxa"/>
              <w:left w:w="100" w:type="dxa"/>
              <w:bottom w:w="100" w:type="dxa"/>
              <w:right w:w="100" w:type="dxa"/>
            </w:tcMar>
          </w:tcPr>
          <w:p w14:paraId="09C0D2A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A247125" w14:textId="77777777" w:rsidTr="00C71B51">
        <w:tc>
          <w:tcPr>
            <w:tcW w:w="3885" w:type="dxa"/>
            <w:shd w:val="clear" w:color="auto" w:fill="auto"/>
            <w:tcMar>
              <w:top w:w="100" w:type="dxa"/>
              <w:left w:w="100" w:type="dxa"/>
              <w:bottom w:w="100" w:type="dxa"/>
              <w:right w:w="100" w:type="dxa"/>
            </w:tcMar>
          </w:tcPr>
          <w:p w14:paraId="3081840C"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Scholarships and student aid costs </w:t>
            </w:r>
          </w:p>
        </w:tc>
        <w:tc>
          <w:tcPr>
            <w:tcW w:w="1905" w:type="dxa"/>
            <w:shd w:val="clear" w:color="auto" w:fill="auto"/>
            <w:tcMar>
              <w:top w:w="100" w:type="dxa"/>
              <w:left w:w="100" w:type="dxa"/>
              <w:bottom w:w="100" w:type="dxa"/>
              <w:right w:w="100" w:type="dxa"/>
            </w:tcMar>
          </w:tcPr>
          <w:p w14:paraId="73B37B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200.466</w:t>
            </w:r>
          </w:p>
        </w:tc>
        <w:tc>
          <w:tcPr>
            <w:tcW w:w="3930" w:type="dxa"/>
            <w:shd w:val="clear" w:color="auto" w:fill="auto"/>
            <w:tcMar>
              <w:top w:w="100" w:type="dxa"/>
              <w:left w:w="100" w:type="dxa"/>
              <w:bottom w:w="100" w:type="dxa"/>
              <w:right w:w="100" w:type="dxa"/>
            </w:tcMar>
          </w:tcPr>
          <w:p w14:paraId="478C3D9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1C4C5ECF" w14:textId="77777777" w:rsidTr="00C71B51">
        <w:tc>
          <w:tcPr>
            <w:tcW w:w="3885" w:type="dxa"/>
            <w:shd w:val="clear" w:color="auto" w:fill="auto"/>
            <w:tcMar>
              <w:top w:w="100" w:type="dxa"/>
              <w:left w:w="100" w:type="dxa"/>
              <w:bottom w:w="100" w:type="dxa"/>
              <w:right w:w="100" w:type="dxa"/>
            </w:tcMar>
          </w:tcPr>
          <w:p w14:paraId="131592BA"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Selling and marketing costs </w:t>
            </w:r>
          </w:p>
        </w:tc>
        <w:tc>
          <w:tcPr>
            <w:tcW w:w="1905" w:type="dxa"/>
            <w:shd w:val="clear" w:color="auto" w:fill="auto"/>
            <w:tcMar>
              <w:top w:w="100" w:type="dxa"/>
              <w:left w:w="100" w:type="dxa"/>
              <w:bottom w:w="100" w:type="dxa"/>
              <w:right w:w="100" w:type="dxa"/>
            </w:tcMar>
          </w:tcPr>
          <w:p w14:paraId="3DAAAD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200.467</w:t>
            </w:r>
          </w:p>
        </w:tc>
        <w:tc>
          <w:tcPr>
            <w:tcW w:w="3930" w:type="dxa"/>
            <w:shd w:val="clear" w:color="auto" w:fill="auto"/>
            <w:tcMar>
              <w:top w:w="100" w:type="dxa"/>
              <w:left w:w="100" w:type="dxa"/>
              <w:bottom w:w="100" w:type="dxa"/>
              <w:right w:w="100" w:type="dxa"/>
            </w:tcMar>
          </w:tcPr>
          <w:p w14:paraId="57DB8A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2A7A4104" w14:textId="77777777" w:rsidTr="00C71B51">
        <w:tc>
          <w:tcPr>
            <w:tcW w:w="3885" w:type="dxa"/>
            <w:shd w:val="clear" w:color="auto" w:fill="auto"/>
            <w:tcMar>
              <w:top w:w="100" w:type="dxa"/>
              <w:left w:w="100" w:type="dxa"/>
              <w:bottom w:w="100" w:type="dxa"/>
              <w:right w:w="100" w:type="dxa"/>
            </w:tcMar>
          </w:tcPr>
          <w:p w14:paraId="38DDDA41"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lastRenderedPageBreak/>
              <w:t xml:space="preserve">Specialized service facilities </w:t>
            </w:r>
          </w:p>
        </w:tc>
        <w:tc>
          <w:tcPr>
            <w:tcW w:w="1905" w:type="dxa"/>
            <w:shd w:val="clear" w:color="auto" w:fill="auto"/>
            <w:tcMar>
              <w:top w:w="100" w:type="dxa"/>
              <w:left w:w="100" w:type="dxa"/>
              <w:bottom w:w="100" w:type="dxa"/>
              <w:right w:w="100" w:type="dxa"/>
            </w:tcMar>
          </w:tcPr>
          <w:p w14:paraId="320ACC2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200.468</w:t>
            </w:r>
          </w:p>
        </w:tc>
        <w:tc>
          <w:tcPr>
            <w:tcW w:w="3930" w:type="dxa"/>
            <w:shd w:val="clear" w:color="auto" w:fill="auto"/>
            <w:tcMar>
              <w:top w:w="100" w:type="dxa"/>
              <w:left w:w="100" w:type="dxa"/>
              <w:bottom w:w="100" w:type="dxa"/>
              <w:right w:w="100" w:type="dxa"/>
            </w:tcMar>
          </w:tcPr>
          <w:p w14:paraId="6346B42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ABDFA23" w14:textId="77777777" w:rsidTr="00C71B51">
        <w:tc>
          <w:tcPr>
            <w:tcW w:w="3885" w:type="dxa"/>
            <w:shd w:val="clear" w:color="auto" w:fill="auto"/>
            <w:tcMar>
              <w:top w:w="100" w:type="dxa"/>
              <w:left w:w="100" w:type="dxa"/>
              <w:bottom w:w="100" w:type="dxa"/>
              <w:right w:w="100" w:type="dxa"/>
            </w:tcMar>
          </w:tcPr>
          <w:p w14:paraId="2F1D122B"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Student activity costs </w:t>
            </w:r>
          </w:p>
        </w:tc>
        <w:tc>
          <w:tcPr>
            <w:tcW w:w="1905" w:type="dxa"/>
            <w:shd w:val="clear" w:color="auto" w:fill="auto"/>
            <w:tcMar>
              <w:top w:w="100" w:type="dxa"/>
              <w:left w:w="100" w:type="dxa"/>
              <w:bottom w:w="100" w:type="dxa"/>
              <w:right w:w="100" w:type="dxa"/>
            </w:tcMar>
          </w:tcPr>
          <w:p w14:paraId="094EBBB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200.469</w:t>
            </w:r>
          </w:p>
        </w:tc>
        <w:tc>
          <w:tcPr>
            <w:tcW w:w="3930" w:type="dxa"/>
            <w:shd w:val="clear" w:color="auto" w:fill="auto"/>
            <w:tcMar>
              <w:top w:w="100" w:type="dxa"/>
              <w:left w:w="100" w:type="dxa"/>
              <w:bottom w:w="100" w:type="dxa"/>
              <w:right w:w="100" w:type="dxa"/>
            </w:tcMar>
          </w:tcPr>
          <w:p w14:paraId="2C830E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unless specifically provided for in the federal award</w:t>
            </w:r>
          </w:p>
        </w:tc>
      </w:tr>
      <w:tr w:rsidR="009E1558" w:rsidRPr="00635861" w14:paraId="2C618BA4" w14:textId="77777777" w:rsidTr="00C71B51">
        <w:tc>
          <w:tcPr>
            <w:tcW w:w="3885" w:type="dxa"/>
            <w:shd w:val="clear" w:color="auto" w:fill="auto"/>
            <w:tcMar>
              <w:top w:w="100" w:type="dxa"/>
              <w:left w:w="100" w:type="dxa"/>
              <w:bottom w:w="100" w:type="dxa"/>
              <w:right w:w="100" w:type="dxa"/>
            </w:tcMar>
          </w:tcPr>
          <w:p w14:paraId="2531D128"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Taxes (including Value Added Tax) </w:t>
            </w:r>
          </w:p>
        </w:tc>
        <w:tc>
          <w:tcPr>
            <w:tcW w:w="1905" w:type="dxa"/>
            <w:shd w:val="clear" w:color="auto" w:fill="auto"/>
            <w:tcMar>
              <w:top w:w="100" w:type="dxa"/>
              <w:left w:w="100" w:type="dxa"/>
              <w:bottom w:w="100" w:type="dxa"/>
              <w:right w:w="100" w:type="dxa"/>
            </w:tcMar>
          </w:tcPr>
          <w:p w14:paraId="0331A71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200.470</w:t>
            </w:r>
          </w:p>
        </w:tc>
        <w:tc>
          <w:tcPr>
            <w:tcW w:w="3930" w:type="dxa"/>
            <w:shd w:val="clear" w:color="auto" w:fill="auto"/>
            <w:tcMar>
              <w:top w:w="100" w:type="dxa"/>
              <w:left w:w="100" w:type="dxa"/>
              <w:bottom w:w="100" w:type="dxa"/>
              <w:right w:w="100" w:type="dxa"/>
            </w:tcMar>
          </w:tcPr>
          <w:p w14:paraId="22E4536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22C6E5F" w14:textId="77777777" w:rsidTr="00C71B51">
        <w:tc>
          <w:tcPr>
            <w:tcW w:w="3885" w:type="dxa"/>
            <w:shd w:val="clear" w:color="auto" w:fill="auto"/>
            <w:tcMar>
              <w:top w:w="100" w:type="dxa"/>
              <w:left w:w="100" w:type="dxa"/>
              <w:bottom w:w="100" w:type="dxa"/>
              <w:right w:w="100" w:type="dxa"/>
            </w:tcMar>
          </w:tcPr>
          <w:p w14:paraId="3536D38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Termination costs </w:t>
            </w:r>
          </w:p>
        </w:tc>
        <w:tc>
          <w:tcPr>
            <w:tcW w:w="1905" w:type="dxa"/>
            <w:shd w:val="clear" w:color="auto" w:fill="auto"/>
            <w:tcMar>
              <w:top w:w="100" w:type="dxa"/>
              <w:left w:w="100" w:type="dxa"/>
              <w:bottom w:w="100" w:type="dxa"/>
              <w:right w:w="100" w:type="dxa"/>
            </w:tcMar>
          </w:tcPr>
          <w:p w14:paraId="135E417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200.471</w:t>
            </w:r>
          </w:p>
        </w:tc>
        <w:tc>
          <w:tcPr>
            <w:tcW w:w="3930" w:type="dxa"/>
            <w:shd w:val="clear" w:color="auto" w:fill="auto"/>
            <w:tcMar>
              <w:top w:w="100" w:type="dxa"/>
              <w:left w:w="100" w:type="dxa"/>
              <w:bottom w:w="100" w:type="dxa"/>
              <w:right w:w="100" w:type="dxa"/>
            </w:tcMar>
          </w:tcPr>
          <w:p w14:paraId="2202D83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A9254CA" w14:textId="77777777" w:rsidTr="00C71B51">
        <w:tc>
          <w:tcPr>
            <w:tcW w:w="3885" w:type="dxa"/>
            <w:shd w:val="clear" w:color="auto" w:fill="auto"/>
            <w:tcMar>
              <w:top w:w="100" w:type="dxa"/>
              <w:left w:w="100" w:type="dxa"/>
              <w:bottom w:w="100" w:type="dxa"/>
              <w:right w:w="100" w:type="dxa"/>
            </w:tcMar>
          </w:tcPr>
          <w:p w14:paraId="5D93108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Training and education costs </w:t>
            </w:r>
          </w:p>
        </w:tc>
        <w:tc>
          <w:tcPr>
            <w:tcW w:w="1905" w:type="dxa"/>
            <w:shd w:val="clear" w:color="auto" w:fill="auto"/>
            <w:tcMar>
              <w:top w:w="100" w:type="dxa"/>
              <w:left w:w="100" w:type="dxa"/>
              <w:bottom w:w="100" w:type="dxa"/>
              <w:right w:w="100" w:type="dxa"/>
            </w:tcMar>
          </w:tcPr>
          <w:p w14:paraId="6DEEA31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200.472</w:t>
            </w:r>
          </w:p>
        </w:tc>
        <w:tc>
          <w:tcPr>
            <w:tcW w:w="3930" w:type="dxa"/>
            <w:shd w:val="clear" w:color="auto" w:fill="auto"/>
            <w:tcMar>
              <w:top w:w="100" w:type="dxa"/>
              <w:left w:w="100" w:type="dxa"/>
              <w:bottom w:w="100" w:type="dxa"/>
              <w:right w:w="100" w:type="dxa"/>
            </w:tcMar>
          </w:tcPr>
          <w:p w14:paraId="76F4DB6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for employee development</w:t>
            </w:r>
          </w:p>
        </w:tc>
      </w:tr>
      <w:tr w:rsidR="009E1558" w:rsidRPr="00635861" w14:paraId="742AF220" w14:textId="77777777" w:rsidTr="00C71B51">
        <w:tc>
          <w:tcPr>
            <w:tcW w:w="3885" w:type="dxa"/>
            <w:shd w:val="clear" w:color="auto" w:fill="auto"/>
            <w:tcMar>
              <w:top w:w="100" w:type="dxa"/>
              <w:left w:w="100" w:type="dxa"/>
              <w:bottom w:w="100" w:type="dxa"/>
              <w:right w:w="100" w:type="dxa"/>
            </w:tcMar>
          </w:tcPr>
          <w:p w14:paraId="4ACB96C9"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Transportation costs </w:t>
            </w:r>
          </w:p>
        </w:tc>
        <w:tc>
          <w:tcPr>
            <w:tcW w:w="1905" w:type="dxa"/>
            <w:shd w:val="clear" w:color="auto" w:fill="auto"/>
            <w:tcMar>
              <w:top w:w="100" w:type="dxa"/>
              <w:left w:w="100" w:type="dxa"/>
              <w:bottom w:w="100" w:type="dxa"/>
              <w:right w:w="100" w:type="dxa"/>
            </w:tcMar>
          </w:tcPr>
          <w:p w14:paraId="7F6468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200.473</w:t>
            </w:r>
          </w:p>
        </w:tc>
        <w:tc>
          <w:tcPr>
            <w:tcW w:w="3930" w:type="dxa"/>
            <w:shd w:val="clear" w:color="auto" w:fill="auto"/>
            <w:tcMar>
              <w:top w:w="100" w:type="dxa"/>
              <w:left w:w="100" w:type="dxa"/>
              <w:bottom w:w="100" w:type="dxa"/>
              <w:right w:w="100" w:type="dxa"/>
            </w:tcMar>
          </w:tcPr>
          <w:p w14:paraId="4A171FC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886B1FF" w14:textId="77777777" w:rsidTr="00C71B51">
        <w:tc>
          <w:tcPr>
            <w:tcW w:w="3885" w:type="dxa"/>
            <w:shd w:val="clear" w:color="auto" w:fill="auto"/>
            <w:tcMar>
              <w:top w:w="100" w:type="dxa"/>
              <w:left w:w="100" w:type="dxa"/>
              <w:bottom w:w="100" w:type="dxa"/>
              <w:right w:w="100" w:type="dxa"/>
            </w:tcMar>
          </w:tcPr>
          <w:p w14:paraId="2E97B7DA"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Travel costs </w:t>
            </w:r>
          </w:p>
        </w:tc>
        <w:tc>
          <w:tcPr>
            <w:tcW w:w="1905" w:type="dxa"/>
            <w:shd w:val="clear" w:color="auto" w:fill="auto"/>
            <w:tcMar>
              <w:top w:w="100" w:type="dxa"/>
              <w:left w:w="100" w:type="dxa"/>
              <w:bottom w:w="100" w:type="dxa"/>
              <w:right w:w="100" w:type="dxa"/>
            </w:tcMar>
          </w:tcPr>
          <w:p w14:paraId="0D74F45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200.474</w:t>
            </w:r>
          </w:p>
        </w:tc>
        <w:tc>
          <w:tcPr>
            <w:tcW w:w="3930" w:type="dxa"/>
            <w:shd w:val="clear" w:color="auto" w:fill="auto"/>
            <w:tcMar>
              <w:top w:w="100" w:type="dxa"/>
              <w:left w:w="100" w:type="dxa"/>
              <w:bottom w:w="100" w:type="dxa"/>
              <w:right w:w="100" w:type="dxa"/>
            </w:tcMar>
          </w:tcPr>
          <w:p w14:paraId="5ACEBF1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C5220E7" w14:textId="77777777" w:rsidTr="00C71B51">
        <w:tc>
          <w:tcPr>
            <w:tcW w:w="3885" w:type="dxa"/>
            <w:shd w:val="clear" w:color="auto" w:fill="auto"/>
            <w:tcMar>
              <w:top w:w="100" w:type="dxa"/>
              <w:left w:w="100" w:type="dxa"/>
              <w:bottom w:w="100" w:type="dxa"/>
              <w:right w:w="100" w:type="dxa"/>
            </w:tcMar>
          </w:tcPr>
          <w:p w14:paraId="7267642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Trustees </w:t>
            </w:r>
          </w:p>
        </w:tc>
        <w:tc>
          <w:tcPr>
            <w:tcW w:w="1905" w:type="dxa"/>
            <w:shd w:val="clear" w:color="auto" w:fill="auto"/>
            <w:tcMar>
              <w:top w:w="100" w:type="dxa"/>
              <w:left w:w="100" w:type="dxa"/>
              <w:bottom w:w="100" w:type="dxa"/>
              <w:right w:w="100" w:type="dxa"/>
            </w:tcMar>
          </w:tcPr>
          <w:p w14:paraId="0379B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200.475</w:t>
            </w:r>
          </w:p>
        </w:tc>
        <w:tc>
          <w:tcPr>
            <w:tcW w:w="3930" w:type="dxa"/>
            <w:shd w:val="clear" w:color="auto" w:fill="auto"/>
            <w:tcMar>
              <w:top w:w="100" w:type="dxa"/>
              <w:left w:w="100" w:type="dxa"/>
              <w:bottom w:w="100" w:type="dxa"/>
              <w:right w:w="100" w:type="dxa"/>
            </w:tcMar>
          </w:tcPr>
          <w:p w14:paraId="6F80D40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bl>
    <w:p w14:paraId="011B2A91" w14:textId="0CAE2279" w:rsidR="00517200" w:rsidRDefault="00FF20A0"/>
    <w:p w14:paraId="0F6D2565" w14:textId="69405853" w:rsidR="009E1558" w:rsidRPr="009E1558" w:rsidRDefault="009E1558" w:rsidP="009E1558">
      <w:pPr>
        <w:tabs>
          <w:tab w:val="left" w:pos="1255"/>
        </w:tabs>
      </w:pPr>
      <w:r>
        <w:tab/>
      </w:r>
    </w:p>
    <w:sectPr w:rsidR="009E1558" w:rsidRPr="009E1558" w:rsidSect="00EC6208">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675C" w14:textId="77777777" w:rsidR="00D33827" w:rsidRDefault="00D33827" w:rsidP="009E1558">
      <w:pPr>
        <w:spacing w:after="0" w:line="240" w:lineRule="auto"/>
      </w:pPr>
      <w:r>
        <w:separator/>
      </w:r>
    </w:p>
  </w:endnote>
  <w:endnote w:type="continuationSeparator" w:id="0">
    <w:p w14:paraId="406ADD43" w14:textId="77777777" w:rsidR="00D33827" w:rsidRDefault="00D33827" w:rsidP="009E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556592"/>
      <w:docPartObj>
        <w:docPartGallery w:val="Page Numbers (Bottom of Page)"/>
        <w:docPartUnique/>
      </w:docPartObj>
    </w:sdtPr>
    <w:sdtEndPr>
      <w:rPr>
        <w:rStyle w:val="PageNumber"/>
      </w:rPr>
    </w:sdtEndPr>
    <w:sdtContent>
      <w:p w14:paraId="7D6C4EEB" w14:textId="42A73239"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D5C57" w14:textId="77777777" w:rsidR="009E1558" w:rsidRDefault="009E1558" w:rsidP="009E1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29622"/>
      <w:docPartObj>
        <w:docPartGallery w:val="Page Numbers (Bottom of Page)"/>
        <w:docPartUnique/>
      </w:docPartObj>
    </w:sdtPr>
    <w:sdtEndPr>
      <w:rPr>
        <w:rStyle w:val="PageNumber"/>
      </w:rPr>
    </w:sdtEndPr>
    <w:sdtContent>
      <w:p w14:paraId="464F6847" w14:textId="0DA6FD06"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D00AB" w14:textId="6E82C229" w:rsidR="009E1558" w:rsidRPr="00C35CC8" w:rsidRDefault="00B3745F" w:rsidP="009E1558">
    <w:pPr>
      <w:pStyle w:val="Footer"/>
      <w:ind w:right="360"/>
      <w:rPr>
        <w:i/>
        <w:iCs/>
      </w:rPr>
    </w:pPr>
    <w:r w:rsidRPr="00C35CC8">
      <w:rPr>
        <w:i/>
        <w:iCs/>
      </w:rPr>
      <w:t xml:space="preserve">Sample </w:t>
    </w:r>
    <w:r w:rsidR="00C35CC8" w:rsidRPr="00C35CC8">
      <w:rPr>
        <w:i/>
        <w:iCs/>
      </w:rPr>
      <w:t>UG Allowable Cost Policy for ARP/CSLFRF Grant</w:t>
    </w:r>
  </w:p>
  <w:p w14:paraId="295F8998" w14:textId="4574D1D4" w:rsidR="00C35CC8" w:rsidRPr="00C35CC8" w:rsidRDefault="00C35CC8" w:rsidP="009E1558">
    <w:pPr>
      <w:pStyle w:val="Footer"/>
      <w:ind w:right="360"/>
      <w:rPr>
        <w:i/>
        <w:iCs/>
      </w:rPr>
    </w:pPr>
    <w:r w:rsidRPr="00C35CC8">
      <w:rPr>
        <w:i/>
        <w:iCs/>
      </w:rPr>
      <w:t>UNC Chapel Hill School of Government</w:t>
    </w:r>
  </w:p>
  <w:p w14:paraId="2DA280EB" w14:textId="537ED5BA" w:rsidR="00C35CC8" w:rsidRPr="00C35CC8" w:rsidRDefault="00C35CC8" w:rsidP="009E1558">
    <w:pPr>
      <w:pStyle w:val="Footer"/>
      <w:ind w:right="360"/>
      <w:rPr>
        <w:i/>
        <w:iCs/>
      </w:rPr>
    </w:pPr>
    <w:r w:rsidRPr="00C35CC8">
      <w:rPr>
        <w:i/>
        <w:iC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D3E2" w14:textId="77777777" w:rsidR="00D33827" w:rsidRDefault="00D33827" w:rsidP="009E1558">
      <w:pPr>
        <w:spacing w:after="0" w:line="240" w:lineRule="auto"/>
      </w:pPr>
      <w:r>
        <w:separator/>
      </w:r>
    </w:p>
  </w:footnote>
  <w:footnote w:type="continuationSeparator" w:id="0">
    <w:p w14:paraId="65D12803" w14:textId="77777777" w:rsidR="00D33827" w:rsidRDefault="00D33827" w:rsidP="009E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0C"/>
    <w:multiLevelType w:val="hybridMultilevel"/>
    <w:tmpl w:val="03006EB0"/>
    <w:lvl w:ilvl="0" w:tplc="1D56D4B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D004385"/>
    <w:multiLevelType w:val="hybridMultilevel"/>
    <w:tmpl w:val="0C3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B761C"/>
    <w:multiLevelType w:val="multilevel"/>
    <w:tmpl w:val="A71A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6" w15:restartNumberingAfterBreak="0">
    <w:nsid w:val="537E5841"/>
    <w:multiLevelType w:val="hybridMultilevel"/>
    <w:tmpl w:val="43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8"/>
    <w:rsid w:val="000A367F"/>
    <w:rsid w:val="001319BE"/>
    <w:rsid w:val="001E0A6E"/>
    <w:rsid w:val="004C0DFE"/>
    <w:rsid w:val="00591996"/>
    <w:rsid w:val="009E1558"/>
    <w:rsid w:val="00B3745F"/>
    <w:rsid w:val="00C35CC8"/>
    <w:rsid w:val="00D33827"/>
    <w:rsid w:val="00E50B11"/>
    <w:rsid w:val="00E628A4"/>
    <w:rsid w:val="00E85536"/>
    <w:rsid w:val="00EC6208"/>
    <w:rsid w:val="00FC733F"/>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93B"/>
  <w15:chartTrackingRefBased/>
  <w15:docId w15:val="{84BFAB5D-F79B-6140-93C8-BED901CC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58"/>
    <w:pPr>
      <w:spacing w:after="200" w:line="276" w:lineRule="auto"/>
      <w:jc w:val="both"/>
    </w:pPr>
    <w:rPr>
      <w:rFonts w:eastAsiaTheme="minorEastAsia"/>
      <w:sz w:val="20"/>
      <w:szCs w:val="20"/>
      <w:lang w:val="en"/>
    </w:rPr>
  </w:style>
  <w:style w:type="paragraph" w:styleId="Heading2">
    <w:name w:val="heading 2"/>
    <w:basedOn w:val="Normal"/>
    <w:next w:val="Normal"/>
    <w:link w:val="Heading2Char"/>
    <w:uiPriority w:val="9"/>
    <w:unhideWhenUsed/>
    <w:qFormat/>
    <w:rsid w:val="009E1558"/>
    <w:pPr>
      <w:spacing w:before="240" w:after="80"/>
      <w:jc w:val="left"/>
      <w:outlineLvl w:val="1"/>
    </w:pPr>
    <w:rPr>
      <w:smallCaps/>
      <w:spacing w:val="5"/>
      <w:sz w:val="28"/>
      <w:szCs w:val="28"/>
    </w:rPr>
  </w:style>
  <w:style w:type="paragraph" w:styleId="Heading4">
    <w:name w:val="heading 4"/>
    <w:basedOn w:val="Normal"/>
    <w:next w:val="Normal"/>
    <w:link w:val="Heading4Char"/>
    <w:uiPriority w:val="9"/>
    <w:unhideWhenUsed/>
    <w:qFormat/>
    <w:rsid w:val="009E1558"/>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558"/>
    <w:rPr>
      <w:rFonts w:eastAsiaTheme="minorEastAsia"/>
      <w:smallCaps/>
      <w:spacing w:val="5"/>
      <w:sz w:val="28"/>
      <w:szCs w:val="28"/>
      <w:lang w:val="en"/>
    </w:rPr>
  </w:style>
  <w:style w:type="character" w:customStyle="1" w:styleId="Heading4Char">
    <w:name w:val="Heading 4 Char"/>
    <w:basedOn w:val="DefaultParagraphFont"/>
    <w:link w:val="Heading4"/>
    <w:uiPriority w:val="9"/>
    <w:rsid w:val="009E1558"/>
    <w:rPr>
      <w:rFonts w:eastAsiaTheme="minorEastAsia"/>
      <w:smallCaps/>
      <w:spacing w:val="10"/>
      <w:sz w:val="22"/>
      <w:szCs w:val="22"/>
      <w:lang w:val="en"/>
    </w:rPr>
  </w:style>
  <w:style w:type="character" w:styleId="Hyperlink">
    <w:name w:val="Hyperlink"/>
    <w:basedOn w:val="DefaultParagraphFont"/>
    <w:uiPriority w:val="99"/>
    <w:unhideWhenUsed/>
    <w:rsid w:val="009E1558"/>
    <w:rPr>
      <w:color w:val="0563C1" w:themeColor="hyperlink"/>
      <w:u w:val="single"/>
    </w:rPr>
  </w:style>
  <w:style w:type="paragraph" w:styleId="ListParagraph">
    <w:name w:val="List Paragraph"/>
    <w:basedOn w:val="Normal"/>
    <w:uiPriority w:val="34"/>
    <w:qFormat/>
    <w:rsid w:val="009E1558"/>
    <w:pPr>
      <w:ind w:left="720"/>
      <w:contextualSpacing/>
    </w:pPr>
  </w:style>
  <w:style w:type="paragraph" w:styleId="NormalWeb">
    <w:name w:val="Normal (Web)"/>
    <w:basedOn w:val="Normal"/>
    <w:uiPriority w:val="99"/>
    <w:unhideWhenUsed/>
    <w:rsid w:val="009E1558"/>
    <w:rPr>
      <w:rFonts w:ascii="Times New Roman" w:hAnsi="Times New Roman" w:cs="Times New Roman"/>
      <w:sz w:val="24"/>
      <w:szCs w:val="24"/>
    </w:rPr>
  </w:style>
  <w:style w:type="paragraph" w:customStyle="1" w:styleId="psection-1">
    <w:name w:val="psection-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umxml">
    <w:name w:val="enumxml"/>
    <w:basedOn w:val="DefaultParagraphFont"/>
    <w:rsid w:val="009E1558"/>
  </w:style>
  <w:style w:type="character" w:customStyle="1" w:styleId="apple-converted-space">
    <w:name w:val="apple-converted-space"/>
    <w:basedOn w:val="DefaultParagraphFont"/>
    <w:rsid w:val="009E1558"/>
  </w:style>
  <w:style w:type="paragraph" w:customStyle="1" w:styleId="psection-2">
    <w:name w:val="psection-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t03">
    <w:name w:val="et03"/>
    <w:basedOn w:val="DefaultParagraphFont"/>
    <w:rsid w:val="009E1558"/>
  </w:style>
  <w:style w:type="paragraph" w:customStyle="1" w:styleId="indent-1">
    <w:name w:val="indent-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ph-hierarchy">
    <w:name w:val="paragraph-hierarchy"/>
    <w:basedOn w:val="DefaultParagraphFont"/>
    <w:rsid w:val="009E1558"/>
  </w:style>
  <w:style w:type="character" w:customStyle="1" w:styleId="paren">
    <w:name w:val="paren"/>
    <w:basedOn w:val="DefaultParagraphFont"/>
    <w:rsid w:val="009E1558"/>
  </w:style>
  <w:style w:type="paragraph" w:customStyle="1" w:styleId="indent-2">
    <w:name w:val="indent-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1558"/>
    <w:rPr>
      <w:color w:val="954F72" w:themeColor="followedHyperlink"/>
      <w:u w:val="single"/>
    </w:rPr>
  </w:style>
  <w:style w:type="paragraph" w:styleId="Footer">
    <w:name w:val="footer"/>
    <w:basedOn w:val="Normal"/>
    <w:link w:val="FooterChar"/>
    <w:uiPriority w:val="99"/>
    <w:unhideWhenUsed/>
    <w:rsid w:val="009E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58"/>
    <w:rPr>
      <w:rFonts w:eastAsiaTheme="minorEastAsia"/>
      <w:sz w:val="20"/>
      <w:szCs w:val="20"/>
      <w:lang w:val="en"/>
    </w:rPr>
  </w:style>
  <w:style w:type="character" w:styleId="PageNumber">
    <w:name w:val="page number"/>
    <w:basedOn w:val="DefaultParagraphFont"/>
    <w:uiPriority w:val="99"/>
    <w:semiHidden/>
    <w:unhideWhenUsed/>
    <w:rsid w:val="009E1558"/>
  </w:style>
  <w:style w:type="paragraph" w:styleId="Header">
    <w:name w:val="header"/>
    <w:basedOn w:val="Normal"/>
    <w:link w:val="HeaderChar"/>
    <w:uiPriority w:val="99"/>
    <w:unhideWhenUsed/>
    <w:rsid w:val="00B3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5F"/>
    <w:rPr>
      <w:rFonts w:eastAsiaTheme="minorEastAsia"/>
      <w:sz w:val="20"/>
      <w:szCs w:val="20"/>
      <w:lang w:val="en"/>
    </w:rPr>
  </w:style>
  <w:style w:type="character" w:styleId="UnresolvedMention">
    <w:name w:val="Unresolved Mention"/>
    <w:basedOn w:val="DefaultParagraphFont"/>
    <w:uiPriority w:val="99"/>
    <w:semiHidden/>
    <w:unhideWhenUsed/>
    <w:rsid w:val="004C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fal/7cecfdef62dc42729a3fdcd449bd62b8/view" TargetMode="External"/><Relationship Id="rId13"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18"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illonzi@sog.unc.edu" TargetMode="External"/><Relationship Id="rId12" Type="http://schemas.openxmlformats.org/officeDocument/2006/relationships/hyperlink" Target="https://www.law.cornell.edu/cfr/text/2/200.475" TargetMode="External"/><Relationship Id="rId17" Type="http://schemas.openxmlformats.org/officeDocument/2006/relationships/hyperlink" Target="https://www.law.cornell.edu/cfr/text/2/200.435" TargetMode="Externa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20" Type="http://schemas.openxmlformats.org/officeDocument/2006/relationships/hyperlink" Target="https://www.law.cornell.edu/definitions/index.php?width=840&amp;height=800&amp;iframe=true&amp;def_id=7cbd32c5c688475f8e11a278f7b64299&amp;term_occur=999&amp;term_src=Title:2:Subtitle:A:Chapter:II:Part:200:Subpart:E:Subjgrp:41:200.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system/files/136/SLFRF-Final-Rule-FAQ.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23" Type="http://schemas.openxmlformats.org/officeDocument/2006/relationships/fontTable" Target="fontTable.xml"/><Relationship Id="rId10" Type="http://schemas.openxmlformats.org/officeDocument/2006/relationships/hyperlink" Target="https://www.gpo.gov/fdsys/granule/CFR-2014-title2-vol1/CFR-2014-title2-vol1-part200/content-detail.html" TargetMode="External"/><Relationship Id="rId19" Type="http://schemas.openxmlformats.org/officeDocument/2006/relationships/hyperlink" Target="https://www.law.cornell.edu/cfr/text/2/200.1" TargetMode="External"/><Relationship Id="rId4" Type="http://schemas.openxmlformats.org/officeDocument/2006/relationships/webSettings" Target="webSettings.xml"/><Relationship Id="rId9" Type="http://schemas.openxmlformats.org/officeDocument/2006/relationships/hyperlink" Target="https://home.treasury.gov/system/files/136/SLFRF-Compliance-and-Reporting-Guidance.pdf" TargetMode="External"/><Relationship Id="rId14" Type="http://schemas.openxmlformats.org/officeDocument/2006/relationships/hyperlink" Target="https://www.law.cornell.edu/definitions/index.php?width=840&amp;height=800&amp;iframe=true&amp;def_id=2351077af91a56a86cf7de12032e8194&amp;term_occur=999&amp;term_src=Title:2:Subtitle:A:Chapter:II:Part:200:Subpart:E:Subjgrp:41:200.44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5010</Words>
  <Characters>28562</Characters>
  <Application>Microsoft Office Word</Application>
  <DocSecurity>0</DocSecurity>
  <Lines>238</Lines>
  <Paragraphs>67</Paragraphs>
  <ScaleCrop>false</ScaleCrop>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12</cp:revision>
  <dcterms:created xsi:type="dcterms:W3CDTF">2022-08-27T15:17:00Z</dcterms:created>
  <dcterms:modified xsi:type="dcterms:W3CDTF">2022-08-27T15:29:00Z</dcterms:modified>
</cp:coreProperties>
</file>